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F1A1" w14:textId="77777777" w:rsidR="00B426D8" w:rsidRPr="00AD7CE6" w:rsidRDefault="00AD7CE6" w:rsidP="004C4BF6">
      <w:pPr>
        <w:spacing w:after="0" w:line="240" w:lineRule="auto"/>
        <w:jc w:val="center"/>
        <w:rPr>
          <w:rFonts w:ascii="Times New Roman" w:hAnsi="Times New Roman" w:cs="Times New Roman"/>
          <w:b/>
          <w:sz w:val="24"/>
          <w:lang w:val="es-MX"/>
        </w:rPr>
      </w:pPr>
      <w:r w:rsidRPr="00AD7CE6">
        <w:rPr>
          <w:rFonts w:ascii="Times New Roman" w:hAnsi="Times New Roman" w:cs="Times New Roman"/>
          <w:b/>
          <w:sz w:val="24"/>
          <w:lang w:val="es-MX"/>
        </w:rPr>
        <w:t>INIAP-Libe</w:t>
      </w:r>
      <w:r w:rsidR="009B01B5">
        <w:rPr>
          <w:rFonts w:ascii="Times New Roman" w:hAnsi="Times New Roman" w:cs="Times New Roman"/>
          <w:b/>
          <w:sz w:val="24"/>
          <w:lang w:val="es-MX"/>
        </w:rPr>
        <w:t>rtad Nueva Variedad de Papa Precoz con Resistencia al Tizón T</w:t>
      </w:r>
      <w:r w:rsidR="00CD39BF">
        <w:rPr>
          <w:rFonts w:ascii="Times New Roman" w:hAnsi="Times New Roman" w:cs="Times New Roman"/>
          <w:b/>
          <w:sz w:val="24"/>
          <w:lang w:val="es-MX"/>
        </w:rPr>
        <w:t>ardío</w:t>
      </w:r>
    </w:p>
    <w:p w14:paraId="0A1D7BF1" w14:textId="77777777" w:rsidR="00292E76" w:rsidRDefault="00292E76" w:rsidP="004C4BF6">
      <w:pPr>
        <w:tabs>
          <w:tab w:val="left" w:pos="0"/>
        </w:tabs>
        <w:spacing w:after="0" w:line="240" w:lineRule="auto"/>
        <w:jc w:val="center"/>
        <w:rPr>
          <w:rFonts w:ascii="Times New Roman" w:hAnsi="Times New Roman" w:cs="Times New Roman"/>
          <w:bCs/>
          <w:sz w:val="24"/>
          <w:u w:val="single"/>
        </w:rPr>
      </w:pPr>
    </w:p>
    <w:p w14:paraId="282886D9" w14:textId="3A84A3BE" w:rsidR="00AD7CE6" w:rsidRDefault="00AD7CE6" w:rsidP="004C4BF6">
      <w:pPr>
        <w:tabs>
          <w:tab w:val="left" w:pos="0"/>
        </w:tabs>
        <w:spacing w:after="0" w:line="240" w:lineRule="auto"/>
        <w:jc w:val="center"/>
        <w:rPr>
          <w:rFonts w:ascii="Times New Roman" w:hAnsi="Times New Roman" w:cs="Times New Roman"/>
          <w:bCs/>
          <w:sz w:val="24"/>
        </w:rPr>
      </w:pPr>
      <w:r w:rsidRPr="00AD7CE6">
        <w:rPr>
          <w:rFonts w:ascii="Times New Roman" w:hAnsi="Times New Roman" w:cs="Times New Roman"/>
          <w:bCs/>
          <w:sz w:val="24"/>
          <w:u w:val="single"/>
        </w:rPr>
        <w:t>Xavier Cuesta</w:t>
      </w:r>
      <w:r w:rsidRPr="00AD7CE6">
        <w:rPr>
          <w:rFonts w:ascii="Times New Roman" w:hAnsi="Times New Roman" w:cs="Times New Roman"/>
          <w:bCs/>
          <w:sz w:val="24"/>
          <w:u w:val="single"/>
          <w:vertAlign w:val="superscript"/>
        </w:rPr>
        <w:t>1</w:t>
      </w:r>
      <w:r w:rsidRPr="00AD7CE6">
        <w:rPr>
          <w:rFonts w:ascii="Times New Roman" w:hAnsi="Times New Roman" w:cs="Times New Roman"/>
          <w:bCs/>
          <w:sz w:val="24"/>
        </w:rPr>
        <w:t>, Pedro Oyarzun</w:t>
      </w:r>
      <w:r w:rsidRPr="00AD7CE6">
        <w:rPr>
          <w:rFonts w:ascii="Times New Roman" w:hAnsi="Times New Roman" w:cs="Times New Roman"/>
          <w:bCs/>
          <w:sz w:val="24"/>
          <w:vertAlign w:val="superscript"/>
        </w:rPr>
        <w:t>2</w:t>
      </w:r>
      <w:r w:rsidRPr="00AD7CE6">
        <w:rPr>
          <w:rFonts w:ascii="Times New Roman" w:hAnsi="Times New Roman" w:cs="Times New Roman"/>
          <w:bCs/>
          <w:sz w:val="24"/>
        </w:rPr>
        <w:t>, Jorge Andrade-Piedra</w:t>
      </w:r>
      <w:r w:rsidRPr="00AD7CE6">
        <w:rPr>
          <w:rFonts w:ascii="Times New Roman" w:hAnsi="Times New Roman" w:cs="Times New Roman"/>
          <w:bCs/>
          <w:sz w:val="24"/>
          <w:vertAlign w:val="superscript"/>
        </w:rPr>
        <w:t>3</w:t>
      </w:r>
      <w:r w:rsidRPr="00AD7CE6">
        <w:rPr>
          <w:rFonts w:ascii="Times New Roman" w:hAnsi="Times New Roman" w:cs="Times New Roman"/>
          <w:bCs/>
          <w:sz w:val="24"/>
        </w:rPr>
        <w:t xml:space="preserve">, </w:t>
      </w:r>
      <w:r w:rsidR="00E74097">
        <w:rPr>
          <w:rFonts w:ascii="Times New Roman" w:hAnsi="Times New Roman" w:cs="Times New Roman"/>
          <w:bCs/>
          <w:sz w:val="24"/>
        </w:rPr>
        <w:t>Peter Kromann</w:t>
      </w:r>
      <w:r w:rsidR="00E74097" w:rsidRPr="00AD7CE6">
        <w:rPr>
          <w:rFonts w:ascii="Times New Roman" w:hAnsi="Times New Roman" w:cs="Times New Roman"/>
          <w:bCs/>
          <w:sz w:val="24"/>
          <w:vertAlign w:val="superscript"/>
        </w:rPr>
        <w:t>3</w:t>
      </w:r>
      <w:r w:rsidR="00E74097">
        <w:rPr>
          <w:rFonts w:ascii="Times New Roman" w:hAnsi="Times New Roman" w:cs="Times New Roman"/>
          <w:bCs/>
          <w:sz w:val="24"/>
        </w:rPr>
        <w:t xml:space="preserve">, </w:t>
      </w:r>
      <w:r w:rsidRPr="00AD7CE6">
        <w:rPr>
          <w:rFonts w:ascii="Times New Roman" w:hAnsi="Times New Roman" w:cs="Times New Roman"/>
          <w:bCs/>
          <w:sz w:val="24"/>
        </w:rPr>
        <w:t>Arturo Taipe</w:t>
      </w:r>
      <w:r w:rsidRPr="00AD7CE6">
        <w:rPr>
          <w:rFonts w:ascii="Times New Roman" w:hAnsi="Times New Roman" w:cs="Times New Roman"/>
          <w:bCs/>
          <w:sz w:val="24"/>
          <w:vertAlign w:val="superscript"/>
        </w:rPr>
        <w:t>3</w:t>
      </w:r>
      <w:r w:rsidRPr="00AD7CE6">
        <w:rPr>
          <w:rFonts w:ascii="Times New Roman" w:hAnsi="Times New Roman" w:cs="Times New Roman"/>
          <w:bCs/>
          <w:sz w:val="24"/>
        </w:rPr>
        <w:t>, Luis Montesdeoca</w:t>
      </w:r>
      <w:r w:rsidRPr="00AD7CE6">
        <w:rPr>
          <w:rFonts w:ascii="Times New Roman" w:hAnsi="Times New Roman" w:cs="Times New Roman"/>
          <w:bCs/>
          <w:sz w:val="24"/>
          <w:vertAlign w:val="superscript"/>
        </w:rPr>
        <w:t>4</w:t>
      </w:r>
      <w:r w:rsidRPr="00AD7CE6">
        <w:rPr>
          <w:rFonts w:ascii="Times New Roman" w:hAnsi="Times New Roman" w:cs="Times New Roman"/>
          <w:bCs/>
          <w:sz w:val="24"/>
        </w:rPr>
        <w:t>, Fabián Montesdeoca</w:t>
      </w:r>
      <w:r w:rsidR="009B01B5">
        <w:rPr>
          <w:rFonts w:ascii="Times New Roman" w:hAnsi="Times New Roman" w:cs="Times New Roman"/>
          <w:bCs/>
          <w:sz w:val="24"/>
          <w:vertAlign w:val="superscript"/>
        </w:rPr>
        <w:t>1</w:t>
      </w:r>
      <w:r w:rsidRPr="00AD7CE6">
        <w:rPr>
          <w:rFonts w:ascii="Times New Roman" w:hAnsi="Times New Roman" w:cs="Times New Roman"/>
          <w:bCs/>
          <w:sz w:val="24"/>
        </w:rPr>
        <w:t>,</w:t>
      </w:r>
      <w:r w:rsidR="00584F59">
        <w:rPr>
          <w:rFonts w:ascii="Times New Roman" w:hAnsi="Times New Roman" w:cs="Times New Roman"/>
          <w:bCs/>
          <w:sz w:val="24"/>
        </w:rPr>
        <w:t xml:space="preserve"> </w:t>
      </w:r>
      <w:r w:rsidRPr="00AD7CE6">
        <w:rPr>
          <w:rFonts w:ascii="Times New Roman" w:hAnsi="Times New Roman" w:cs="Times New Roman"/>
          <w:bCs/>
          <w:sz w:val="24"/>
        </w:rPr>
        <w:t>Cecilia Monteros</w:t>
      </w:r>
      <w:r w:rsidRPr="00AD7CE6">
        <w:rPr>
          <w:rFonts w:ascii="Times New Roman" w:hAnsi="Times New Roman" w:cs="Times New Roman"/>
          <w:bCs/>
          <w:sz w:val="24"/>
          <w:vertAlign w:val="superscript"/>
        </w:rPr>
        <w:t>1</w:t>
      </w:r>
      <w:r w:rsidRPr="00AD7CE6">
        <w:rPr>
          <w:rFonts w:ascii="Times New Roman" w:hAnsi="Times New Roman" w:cs="Times New Roman"/>
          <w:bCs/>
          <w:sz w:val="24"/>
        </w:rPr>
        <w:t>, Jorge Rivadeneira</w:t>
      </w:r>
      <w:r w:rsidRPr="00AD7CE6">
        <w:rPr>
          <w:rFonts w:ascii="Times New Roman" w:hAnsi="Times New Roman" w:cs="Times New Roman"/>
          <w:bCs/>
          <w:sz w:val="24"/>
          <w:vertAlign w:val="superscript"/>
        </w:rPr>
        <w:t>1</w:t>
      </w:r>
      <w:r w:rsidRPr="00AD7CE6">
        <w:rPr>
          <w:rFonts w:ascii="Times New Roman" w:hAnsi="Times New Roman" w:cs="Times New Roman"/>
          <w:bCs/>
          <w:sz w:val="24"/>
        </w:rPr>
        <w:t>, Efrén Carrera</w:t>
      </w:r>
      <w:r w:rsidRPr="00AD7CE6">
        <w:rPr>
          <w:rFonts w:ascii="Times New Roman" w:hAnsi="Times New Roman" w:cs="Times New Roman"/>
          <w:bCs/>
          <w:sz w:val="24"/>
          <w:vertAlign w:val="superscript"/>
        </w:rPr>
        <w:t>1</w:t>
      </w:r>
      <w:r w:rsidRPr="00AD7CE6">
        <w:rPr>
          <w:rFonts w:ascii="Times New Roman" w:hAnsi="Times New Roman" w:cs="Times New Roman"/>
          <w:bCs/>
          <w:sz w:val="24"/>
        </w:rPr>
        <w:t>, Paúl Comina</w:t>
      </w:r>
      <w:r w:rsidRPr="00AD7CE6">
        <w:rPr>
          <w:rFonts w:ascii="Times New Roman" w:hAnsi="Times New Roman" w:cs="Times New Roman"/>
          <w:bCs/>
          <w:sz w:val="24"/>
          <w:vertAlign w:val="superscript"/>
        </w:rPr>
        <w:t>1</w:t>
      </w:r>
      <w:r w:rsidR="00011A25">
        <w:rPr>
          <w:rFonts w:ascii="Times New Roman" w:hAnsi="Times New Roman" w:cs="Times New Roman"/>
          <w:bCs/>
          <w:sz w:val="24"/>
        </w:rPr>
        <w:t xml:space="preserve"> e</w:t>
      </w:r>
      <w:r w:rsidRPr="00AD7CE6">
        <w:rPr>
          <w:rFonts w:ascii="Times New Roman" w:hAnsi="Times New Roman" w:cs="Times New Roman"/>
          <w:bCs/>
          <w:sz w:val="24"/>
        </w:rPr>
        <w:t xml:space="preserve"> Iván Reinoso</w:t>
      </w:r>
      <w:r w:rsidRPr="00AD7CE6">
        <w:rPr>
          <w:rFonts w:ascii="Times New Roman" w:hAnsi="Times New Roman" w:cs="Times New Roman"/>
          <w:bCs/>
          <w:sz w:val="24"/>
          <w:vertAlign w:val="superscript"/>
        </w:rPr>
        <w:t>1</w:t>
      </w:r>
    </w:p>
    <w:p w14:paraId="35C9F272" w14:textId="77777777" w:rsidR="009B01B5" w:rsidRDefault="009B01B5" w:rsidP="004C4BF6">
      <w:pPr>
        <w:pStyle w:val="FootnoteText"/>
        <w:spacing w:line="240" w:lineRule="auto"/>
        <w:rPr>
          <w:bCs/>
          <w:vertAlign w:val="superscript"/>
        </w:rPr>
      </w:pPr>
    </w:p>
    <w:p w14:paraId="1F66E16C" w14:textId="7489C1E4" w:rsidR="00AD7CE6" w:rsidRPr="00011A25" w:rsidRDefault="00AD7CE6" w:rsidP="00011A25">
      <w:pPr>
        <w:pStyle w:val="FootnoteText"/>
        <w:spacing w:line="240" w:lineRule="auto"/>
        <w:ind w:left="180" w:hanging="180"/>
        <w:rPr>
          <w:bCs/>
          <w:sz w:val="23"/>
          <w:szCs w:val="23"/>
        </w:rPr>
      </w:pPr>
      <w:r w:rsidRPr="00011A25">
        <w:rPr>
          <w:bCs/>
          <w:sz w:val="23"/>
          <w:szCs w:val="23"/>
          <w:vertAlign w:val="superscript"/>
        </w:rPr>
        <w:t>1</w:t>
      </w:r>
      <w:r w:rsidRPr="00011A25">
        <w:rPr>
          <w:bCs/>
          <w:sz w:val="23"/>
          <w:szCs w:val="23"/>
        </w:rPr>
        <w:t xml:space="preserve"> </w:t>
      </w:r>
      <w:proofErr w:type="gramStart"/>
      <w:r w:rsidRPr="00011A25">
        <w:rPr>
          <w:bCs/>
          <w:sz w:val="23"/>
          <w:szCs w:val="23"/>
        </w:rPr>
        <w:t>Instituto</w:t>
      </w:r>
      <w:proofErr w:type="gramEnd"/>
      <w:r w:rsidRPr="00011A25">
        <w:rPr>
          <w:bCs/>
          <w:sz w:val="23"/>
          <w:szCs w:val="23"/>
        </w:rPr>
        <w:t xml:space="preserve"> Nacional de Invest</w:t>
      </w:r>
      <w:r w:rsidR="009820EA" w:rsidRPr="00011A25">
        <w:rPr>
          <w:bCs/>
          <w:sz w:val="23"/>
          <w:szCs w:val="23"/>
        </w:rPr>
        <w:t>igaciones Agropecuarias (INIAP)</w:t>
      </w:r>
      <w:r w:rsidR="00011A25" w:rsidRPr="00011A25">
        <w:rPr>
          <w:bCs/>
          <w:sz w:val="23"/>
          <w:szCs w:val="23"/>
        </w:rPr>
        <w:t>. Autor correspondiente</w:t>
      </w:r>
      <w:r w:rsidR="00151C61" w:rsidRPr="00011A25">
        <w:rPr>
          <w:bCs/>
          <w:sz w:val="23"/>
          <w:szCs w:val="23"/>
        </w:rPr>
        <w:t xml:space="preserve">: </w:t>
      </w:r>
      <w:hyperlink r:id="rId7" w:history="1">
        <w:r w:rsidR="00D5430E" w:rsidRPr="00011A25">
          <w:rPr>
            <w:rStyle w:val="Hyperlink"/>
            <w:bCs/>
            <w:sz w:val="23"/>
            <w:szCs w:val="23"/>
          </w:rPr>
          <w:t>xavier.cuesta@iniap.gob.ec</w:t>
        </w:r>
      </w:hyperlink>
      <w:r w:rsidR="00D5430E" w:rsidRPr="00011A25">
        <w:rPr>
          <w:bCs/>
          <w:sz w:val="23"/>
          <w:szCs w:val="23"/>
        </w:rPr>
        <w:t xml:space="preserve"> </w:t>
      </w:r>
    </w:p>
    <w:p w14:paraId="48E2B630" w14:textId="77777777" w:rsidR="009B01B5" w:rsidRPr="00011A25" w:rsidRDefault="00AD7CE6" w:rsidP="00011A25">
      <w:pPr>
        <w:pStyle w:val="FootnoteText"/>
        <w:spacing w:line="240" w:lineRule="auto"/>
        <w:ind w:left="180" w:hanging="180"/>
        <w:rPr>
          <w:sz w:val="23"/>
          <w:szCs w:val="23"/>
          <w:lang w:val="es-ES"/>
        </w:rPr>
      </w:pPr>
      <w:r w:rsidRPr="00011A25">
        <w:rPr>
          <w:bCs/>
          <w:sz w:val="23"/>
          <w:szCs w:val="23"/>
          <w:vertAlign w:val="superscript"/>
        </w:rPr>
        <w:t>2</w:t>
      </w:r>
      <w:r w:rsidRPr="00011A25">
        <w:rPr>
          <w:bCs/>
          <w:sz w:val="23"/>
          <w:szCs w:val="23"/>
        </w:rPr>
        <w:t xml:space="preserve"> </w:t>
      </w:r>
      <w:proofErr w:type="spellStart"/>
      <w:r w:rsidR="009B01B5" w:rsidRPr="00011A25">
        <w:rPr>
          <w:sz w:val="23"/>
          <w:szCs w:val="23"/>
          <w:lang w:val="es-ES"/>
        </w:rPr>
        <w:t>EkoRural</w:t>
      </w:r>
      <w:proofErr w:type="spellEnd"/>
    </w:p>
    <w:p w14:paraId="3C7433FE" w14:textId="77777777" w:rsidR="00AD7CE6" w:rsidRPr="00011A25" w:rsidRDefault="00AD7CE6" w:rsidP="00011A25">
      <w:pPr>
        <w:pStyle w:val="FootnoteText"/>
        <w:spacing w:line="240" w:lineRule="auto"/>
        <w:ind w:left="180" w:hanging="180"/>
        <w:rPr>
          <w:sz w:val="23"/>
          <w:szCs w:val="23"/>
          <w:lang w:val="es-ES"/>
        </w:rPr>
      </w:pPr>
      <w:r w:rsidRPr="00011A25">
        <w:rPr>
          <w:rStyle w:val="FootnoteReference"/>
          <w:sz w:val="23"/>
          <w:szCs w:val="23"/>
        </w:rPr>
        <w:t>3</w:t>
      </w:r>
      <w:r w:rsidR="009820EA" w:rsidRPr="00011A25">
        <w:rPr>
          <w:sz w:val="23"/>
          <w:szCs w:val="23"/>
        </w:rPr>
        <w:t xml:space="preserve"> </w:t>
      </w:r>
      <w:r w:rsidRPr="00011A25">
        <w:rPr>
          <w:sz w:val="23"/>
          <w:szCs w:val="23"/>
          <w:lang w:val="es-ES"/>
        </w:rPr>
        <w:t>Centro</w:t>
      </w:r>
      <w:r w:rsidR="009B01B5" w:rsidRPr="00011A25">
        <w:rPr>
          <w:sz w:val="23"/>
          <w:szCs w:val="23"/>
          <w:lang w:val="es-ES"/>
        </w:rPr>
        <w:t xml:space="preserve"> Internacional de la Papa (CIP)</w:t>
      </w:r>
    </w:p>
    <w:p w14:paraId="50FB67F8" w14:textId="77777777" w:rsidR="00F55966" w:rsidRPr="00011A25" w:rsidRDefault="00AD7CE6" w:rsidP="00011A25">
      <w:pPr>
        <w:pStyle w:val="FootnoteText"/>
        <w:spacing w:line="240" w:lineRule="auto"/>
        <w:ind w:left="180" w:hanging="180"/>
        <w:rPr>
          <w:sz w:val="23"/>
          <w:szCs w:val="23"/>
          <w:lang w:val="es-ES"/>
        </w:rPr>
      </w:pPr>
      <w:r w:rsidRPr="00011A25">
        <w:rPr>
          <w:rStyle w:val="FootnoteReference"/>
          <w:sz w:val="23"/>
          <w:szCs w:val="23"/>
        </w:rPr>
        <w:t>4</w:t>
      </w:r>
      <w:r w:rsidR="009820EA" w:rsidRPr="00011A25">
        <w:rPr>
          <w:sz w:val="23"/>
          <w:szCs w:val="23"/>
        </w:rPr>
        <w:t xml:space="preserve"> Consorcio de Pequeños Agricultores de P</w:t>
      </w:r>
      <w:r w:rsidRPr="00011A25">
        <w:rPr>
          <w:sz w:val="23"/>
          <w:szCs w:val="23"/>
        </w:rPr>
        <w:t>apa</w:t>
      </w:r>
      <w:r w:rsidR="009820EA" w:rsidRPr="00011A25">
        <w:rPr>
          <w:sz w:val="23"/>
          <w:szCs w:val="23"/>
        </w:rPr>
        <w:t xml:space="preserve"> - Tungurahua</w:t>
      </w:r>
      <w:r w:rsidRPr="00011A25">
        <w:rPr>
          <w:sz w:val="23"/>
          <w:szCs w:val="23"/>
        </w:rPr>
        <w:t xml:space="preserve"> (</w:t>
      </w:r>
      <w:r w:rsidR="009820EA" w:rsidRPr="00011A25">
        <w:rPr>
          <w:sz w:val="23"/>
          <w:szCs w:val="23"/>
          <w:lang w:val="es-ES"/>
        </w:rPr>
        <w:t>CONPAPA</w:t>
      </w:r>
      <w:r w:rsidRPr="00011A25">
        <w:rPr>
          <w:sz w:val="23"/>
          <w:szCs w:val="23"/>
          <w:lang w:val="es-ES"/>
        </w:rPr>
        <w:t>-Tungurahua</w:t>
      </w:r>
      <w:r w:rsidR="009820EA" w:rsidRPr="00011A25">
        <w:rPr>
          <w:sz w:val="23"/>
          <w:szCs w:val="23"/>
          <w:lang w:val="es-ES"/>
        </w:rPr>
        <w:t>)</w:t>
      </w:r>
      <w:r w:rsidRPr="00011A25">
        <w:rPr>
          <w:sz w:val="23"/>
          <w:szCs w:val="23"/>
          <w:lang w:val="es-ES"/>
        </w:rPr>
        <w:t xml:space="preserve"> </w:t>
      </w:r>
    </w:p>
    <w:p w14:paraId="57D086FC" w14:textId="77777777" w:rsidR="009B01B5" w:rsidRDefault="009B01B5" w:rsidP="00011A25">
      <w:pPr>
        <w:spacing w:after="0" w:line="240" w:lineRule="auto"/>
        <w:rPr>
          <w:rFonts w:ascii="Times New Roman" w:hAnsi="Times New Roman" w:cs="Times New Roman"/>
          <w:b/>
          <w:sz w:val="24"/>
        </w:rPr>
      </w:pPr>
    </w:p>
    <w:p w14:paraId="75D74EFB" w14:textId="77777777" w:rsidR="00AD7CE6" w:rsidRPr="006A1EAF" w:rsidRDefault="003A78AE" w:rsidP="00011A25">
      <w:pPr>
        <w:spacing w:after="0" w:line="240" w:lineRule="auto"/>
        <w:rPr>
          <w:rFonts w:ascii="Times New Roman" w:hAnsi="Times New Roman" w:cs="Times New Roman"/>
          <w:sz w:val="24"/>
        </w:rPr>
      </w:pPr>
      <w:r>
        <w:rPr>
          <w:rFonts w:ascii="Times New Roman" w:hAnsi="Times New Roman" w:cs="Times New Roman"/>
          <w:b/>
          <w:sz w:val="24"/>
        </w:rPr>
        <w:t>Palabras clave</w:t>
      </w:r>
      <w:r w:rsidR="00AD7CE6" w:rsidRPr="00320848">
        <w:rPr>
          <w:rFonts w:ascii="Times New Roman" w:hAnsi="Times New Roman" w:cs="Times New Roman"/>
          <w:b/>
          <w:sz w:val="24"/>
        </w:rPr>
        <w:t>:</w:t>
      </w:r>
      <w:r w:rsidR="00AD7CE6" w:rsidRPr="006A1EAF">
        <w:rPr>
          <w:rFonts w:ascii="Times New Roman" w:hAnsi="Times New Roman" w:cs="Times New Roman"/>
          <w:sz w:val="24"/>
        </w:rPr>
        <w:t xml:space="preserve"> </w:t>
      </w:r>
      <w:r w:rsidR="009820EA">
        <w:rPr>
          <w:rFonts w:ascii="Times New Roman" w:hAnsi="Times New Roman" w:cs="Times New Roman"/>
          <w:sz w:val="24"/>
        </w:rPr>
        <w:t>M</w:t>
      </w:r>
      <w:r w:rsidR="00AD7CE6" w:rsidRPr="006A1EAF">
        <w:rPr>
          <w:rFonts w:ascii="Times New Roman" w:hAnsi="Times New Roman" w:cs="Times New Roman"/>
          <w:sz w:val="24"/>
        </w:rPr>
        <w:t>ejoramiento genético</w:t>
      </w:r>
      <w:r w:rsidR="009820EA">
        <w:rPr>
          <w:rFonts w:ascii="Times New Roman" w:hAnsi="Times New Roman" w:cs="Times New Roman"/>
          <w:sz w:val="24"/>
        </w:rPr>
        <w:t xml:space="preserve">, </w:t>
      </w:r>
      <w:r w:rsidR="00584F59">
        <w:rPr>
          <w:rFonts w:ascii="Times New Roman" w:hAnsi="Times New Roman" w:cs="Times New Roman"/>
          <w:sz w:val="24"/>
        </w:rPr>
        <w:t xml:space="preserve">Precocidad, </w:t>
      </w:r>
      <w:r w:rsidR="009820EA">
        <w:rPr>
          <w:rFonts w:ascii="Times New Roman" w:hAnsi="Times New Roman" w:cs="Times New Roman"/>
          <w:sz w:val="24"/>
        </w:rPr>
        <w:t>R</w:t>
      </w:r>
      <w:r w:rsidR="00AD7CE6">
        <w:rPr>
          <w:rFonts w:ascii="Times New Roman" w:hAnsi="Times New Roman" w:cs="Times New Roman"/>
          <w:sz w:val="24"/>
        </w:rPr>
        <w:t>esistencia</w:t>
      </w:r>
      <w:r w:rsidR="007510E2">
        <w:rPr>
          <w:rFonts w:ascii="Times New Roman" w:hAnsi="Times New Roman" w:cs="Times New Roman"/>
          <w:sz w:val="24"/>
        </w:rPr>
        <w:t xml:space="preserve"> tizón tardío</w:t>
      </w:r>
      <w:r w:rsidR="00151C61">
        <w:rPr>
          <w:rFonts w:ascii="Times New Roman" w:hAnsi="Times New Roman" w:cs="Times New Roman"/>
          <w:sz w:val="24"/>
        </w:rPr>
        <w:t>.</w:t>
      </w:r>
      <w:r w:rsidR="00AD7CE6" w:rsidRPr="006A1EAF">
        <w:rPr>
          <w:rFonts w:ascii="Times New Roman" w:hAnsi="Times New Roman" w:cs="Times New Roman"/>
          <w:sz w:val="24"/>
        </w:rPr>
        <w:t xml:space="preserve"> </w:t>
      </w:r>
    </w:p>
    <w:p w14:paraId="5FFDE06D" w14:textId="77777777" w:rsidR="00AD7CE6" w:rsidRPr="006A1EAF" w:rsidRDefault="00770CFA" w:rsidP="00011A25">
      <w:pPr>
        <w:spacing w:after="0" w:line="240" w:lineRule="auto"/>
        <w:rPr>
          <w:rFonts w:ascii="Times New Roman" w:hAnsi="Times New Roman" w:cs="Times New Roman"/>
          <w:sz w:val="24"/>
        </w:rPr>
      </w:pPr>
      <w:r w:rsidRPr="00770CFA">
        <w:rPr>
          <w:rFonts w:ascii="Times New Roman" w:hAnsi="Times New Roman" w:cs="Times New Roman"/>
          <w:b/>
          <w:sz w:val="24"/>
        </w:rPr>
        <w:t xml:space="preserve">Área temática: </w:t>
      </w:r>
      <w:r w:rsidR="00AD7CE6" w:rsidRPr="006A1EAF">
        <w:rPr>
          <w:rFonts w:ascii="Times New Roman" w:hAnsi="Times New Roman" w:cs="Times New Roman"/>
          <w:sz w:val="24"/>
        </w:rPr>
        <w:t>Mejoramiento genético. Presentación oral</w:t>
      </w:r>
      <w:r w:rsidR="00AD7CE6">
        <w:rPr>
          <w:rFonts w:ascii="Times New Roman" w:hAnsi="Times New Roman" w:cs="Times New Roman"/>
          <w:sz w:val="24"/>
        </w:rPr>
        <w:t>.</w:t>
      </w:r>
    </w:p>
    <w:p w14:paraId="2997AF82" w14:textId="77777777" w:rsidR="00584F59" w:rsidRDefault="00584F59" w:rsidP="00011A25">
      <w:pPr>
        <w:spacing w:before="60" w:after="0" w:line="240" w:lineRule="auto"/>
        <w:rPr>
          <w:rFonts w:ascii="Times New Roman" w:hAnsi="Times New Roman" w:cs="Times New Roman"/>
          <w:b/>
          <w:sz w:val="24"/>
          <w:lang w:val="es-MX"/>
        </w:rPr>
      </w:pPr>
    </w:p>
    <w:p w14:paraId="3B34D602" w14:textId="77777777" w:rsidR="00AD7CE6" w:rsidRPr="00AD7CE6" w:rsidRDefault="005A1BD4" w:rsidP="00011A25">
      <w:pPr>
        <w:spacing w:before="60" w:after="0" w:line="240" w:lineRule="auto"/>
        <w:rPr>
          <w:rFonts w:ascii="Times New Roman" w:hAnsi="Times New Roman" w:cs="Times New Roman"/>
          <w:b/>
          <w:sz w:val="24"/>
          <w:lang w:val="es-MX"/>
        </w:rPr>
      </w:pPr>
      <w:r>
        <w:rPr>
          <w:rFonts w:ascii="Times New Roman" w:hAnsi="Times New Roman" w:cs="Times New Roman"/>
          <w:b/>
          <w:sz w:val="24"/>
          <w:lang w:val="es-MX"/>
        </w:rPr>
        <w:t>INTRODUCCIÓN</w:t>
      </w:r>
    </w:p>
    <w:p w14:paraId="7502E503" w14:textId="6BE9DA40" w:rsidR="00AD7CE6" w:rsidRPr="00AD7CE6" w:rsidRDefault="00AD7CE6" w:rsidP="00011A25">
      <w:pPr>
        <w:spacing w:before="60" w:after="0" w:line="240" w:lineRule="auto"/>
        <w:jc w:val="both"/>
        <w:rPr>
          <w:rFonts w:ascii="Times New Roman" w:hAnsi="Times New Roman" w:cs="Times New Roman"/>
          <w:bCs/>
          <w:sz w:val="24"/>
        </w:rPr>
      </w:pPr>
      <w:r w:rsidRPr="00AD7CE6">
        <w:rPr>
          <w:rFonts w:ascii="Times New Roman" w:hAnsi="Times New Roman" w:cs="Times New Roman"/>
          <w:bCs/>
          <w:sz w:val="24"/>
        </w:rPr>
        <w:t xml:space="preserve">En el año de 1998, llegaron al Centro Internacional de la Papa (CIP) Quito 23 clones de la población B3C0 la cual posee características de resistencia al tizón tardío, características de calidad para consumo en fresco, procesamiento y son de maduración temprana (menor a 140 </w:t>
      </w:r>
      <w:r w:rsidR="005E0DDC">
        <w:rPr>
          <w:rFonts w:ascii="Times New Roman" w:hAnsi="Times New Roman" w:cs="Times New Roman"/>
          <w:bCs/>
          <w:sz w:val="24"/>
        </w:rPr>
        <w:t>días) (</w:t>
      </w:r>
      <w:r w:rsidRPr="00AD7CE6">
        <w:rPr>
          <w:rFonts w:ascii="Times New Roman" w:hAnsi="Times New Roman" w:cs="Times New Roman"/>
          <w:bCs/>
          <w:sz w:val="24"/>
        </w:rPr>
        <w:t xml:space="preserve">Huarte, 2001). </w:t>
      </w:r>
      <w:r w:rsidR="00D5430E">
        <w:rPr>
          <w:rFonts w:ascii="Times New Roman" w:hAnsi="Times New Roman" w:cs="Times New Roman"/>
          <w:bCs/>
          <w:sz w:val="24"/>
        </w:rPr>
        <w:t xml:space="preserve">Luego </w:t>
      </w:r>
      <w:r w:rsidRPr="00AD7CE6">
        <w:rPr>
          <w:rFonts w:ascii="Times New Roman" w:hAnsi="Times New Roman" w:cs="Times New Roman"/>
          <w:bCs/>
          <w:sz w:val="24"/>
        </w:rPr>
        <w:t xml:space="preserve">se seleccionaron 11 clones de esta población, se evaluó su comportamiento agronómico y se realizaron pruebas con la agroindustria para evaluar sus características de calidad, como resultado se seleccionó al clon CIP 386209.20 el cual </w:t>
      </w:r>
      <w:r w:rsidR="00D5430E">
        <w:rPr>
          <w:rFonts w:ascii="Times New Roman" w:hAnsi="Times New Roman" w:cs="Times New Roman"/>
          <w:bCs/>
          <w:sz w:val="24"/>
        </w:rPr>
        <w:t>luego</w:t>
      </w:r>
      <w:r w:rsidRPr="00AD7CE6">
        <w:rPr>
          <w:rFonts w:ascii="Times New Roman" w:hAnsi="Times New Roman" w:cs="Times New Roman"/>
          <w:bCs/>
          <w:sz w:val="24"/>
        </w:rPr>
        <w:t xml:space="preserve"> sería </w:t>
      </w:r>
      <w:r w:rsidR="00011A25" w:rsidRPr="00AD7CE6">
        <w:rPr>
          <w:rFonts w:ascii="Times New Roman" w:hAnsi="Times New Roman" w:cs="Times New Roman"/>
          <w:bCs/>
          <w:sz w:val="24"/>
        </w:rPr>
        <w:t>denominado</w:t>
      </w:r>
      <w:r w:rsidRPr="00AD7CE6">
        <w:rPr>
          <w:rFonts w:ascii="Times New Roman" w:hAnsi="Times New Roman" w:cs="Times New Roman"/>
          <w:bCs/>
          <w:sz w:val="24"/>
        </w:rPr>
        <w:t xml:space="preserve"> Libertad.</w:t>
      </w:r>
    </w:p>
    <w:p w14:paraId="0B189F93" w14:textId="77777777" w:rsidR="00AD7CE6" w:rsidRDefault="00AD7CE6" w:rsidP="00011A25">
      <w:pPr>
        <w:spacing w:before="60" w:after="0" w:line="240" w:lineRule="auto"/>
        <w:jc w:val="both"/>
        <w:rPr>
          <w:rFonts w:ascii="Times New Roman" w:hAnsi="Times New Roman" w:cs="Times New Roman"/>
          <w:bCs/>
          <w:sz w:val="24"/>
        </w:rPr>
      </w:pPr>
      <w:r w:rsidRPr="00AD7CE6">
        <w:rPr>
          <w:rFonts w:ascii="Times New Roman" w:hAnsi="Times New Roman" w:cs="Times New Roman"/>
          <w:bCs/>
          <w:sz w:val="24"/>
        </w:rPr>
        <w:t>El Instituto Nacional de Investigaciones Agropecuarias (I</w:t>
      </w:r>
      <w:r w:rsidR="00584F59">
        <w:rPr>
          <w:rFonts w:ascii="Times New Roman" w:hAnsi="Times New Roman" w:cs="Times New Roman"/>
          <w:bCs/>
          <w:sz w:val="24"/>
        </w:rPr>
        <w:t xml:space="preserve">NIAP) desde el año 2012, inició </w:t>
      </w:r>
      <w:r w:rsidRPr="00AD7CE6">
        <w:rPr>
          <w:rFonts w:ascii="Times New Roman" w:hAnsi="Times New Roman" w:cs="Times New Roman"/>
          <w:bCs/>
          <w:sz w:val="24"/>
        </w:rPr>
        <w:t>un proceso de evaluación del comportamiento de este clon (INIAP-Libertad) dentro de los ensayos de adaptación</w:t>
      </w:r>
      <w:r w:rsidR="00584F59">
        <w:rPr>
          <w:rFonts w:ascii="Times New Roman" w:hAnsi="Times New Roman" w:cs="Times New Roman"/>
          <w:bCs/>
          <w:sz w:val="24"/>
        </w:rPr>
        <w:t xml:space="preserve"> </w:t>
      </w:r>
      <w:r w:rsidRPr="00AD7CE6">
        <w:rPr>
          <w:rFonts w:ascii="Times New Roman" w:hAnsi="Times New Roman" w:cs="Times New Roman"/>
          <w:bCs/>
          <w:sz w:val="24"/>
        </w:rPr>
        <w:t>en varios ambientes de</w:t>
      </w:r>
      <w:r w:rsidR="00584F59">
        <w:rPr>
          <w:rFonts w:ascii="Times New Roman" w:hAnsi="Times New Roman" w:cs="Times New Roman"/>
          <w:bCs/>
          <w:sz w:val="24"/>
        </w:rPr>
        <w:t xml:space="preserve"> </w:t>
      </w:r>
      <w:r w:rsidRPr="00AD7CE6">
        <w:rPr>
          <w:rFonts w:ascii="Times New Roman" w:hAnsi="Times New Roman" w:cs="Times New Roman"/>
          <w:bCs/>
          <w:sz w:val="24"/>
        </w:rPr>
        <w:t xml:space="preserve">la Sierra ecuatoriana. Como resultado INIAP-Libertad </w:t>
      </w:r>
      <w:r>
        <w:rPr>
          <w:rFonts w:ascii="Times New Roman" w:hAnsi="Times New Roman" w:cs="Times New Roman"/>
          <w:bCs/>
          <w:sz w:val="24"/>
        </w:rPr>
        <w:t>fue seleccionada</w:t>
      </w:r>
      <w:r w:rsidRPr="00AD7CE6">
        <w:rPr>
          <w:rFonts w:ascii="Times New Roman" w:hAnsi="Times New Roman" w:cs="Times New Roman"/>
          <w:bCs/>
          <w:sz w:val="24"/>
        </w:rPr>
        <w:t xml:space="preserve"> por sus características agronómicas favorables</w:t>
      </w:r>
      <w:r w:rsidR="005E0DDC">
        <w:rPr>
          <w:rFonts w:ascii="Times New Roman" w:hAnsi="Times New Roman" w:cs="Times New Roman"/>
          <w:bCs/>
          <w:sz w:val="24"/>
        </w:rPr>
        <w:t>,</w:t>
      </w:r>
      <w:r w:rsidRPr="00AD7CE6">
        <w:rPr>
          <w:rFonts w:ascii="Times New Roman" w:hAnsi="Times New Roman" w:cs="Times New Roman"/>
          <w:bCs/>
          <w:sz w:val="24"/>
        </w:rPr>
        <w:t xml:space="preserve"> resistencia al</w:t>
      </w:r>
      <w:r w:rsidR="002F771A">
        <w:rPr>
          <w:rFonts w:ascii="Times New Roman" w:hAnsi="Times New Roman" w:cs="Times New Roman"/>
          <w:bCs/>
          <w:sz w:val="24"/>
        </w:rPr>
        <w:t xml:space="preserve"> tizón tardío, precocidad (&lt; 12</w:t>
      </w:r>
      <w:r w:rsidRPr="00AD7CE6">
        <w:rPr>
          <w:rFonts w:ascii="Times New Roman" w:hAnsi="Times New Roman" w:cs="Times New Roman"/>
          <w:bCs/>
          <w:sz w:val="24"/>
        </w:rPr>
        <w:t>0 días) y calidad para procesamiento.</w:t>
      </w:r>
      <w:r>
        <w:rPr>
          <w:rFonts w:ascii="Times New Roman" w:hAnsi="Times New Roman" w:cs="Times New Roman"/>
          <w:bCs/>
          <w:sz w:val="24"/>
        </w:rPr>
        <w:t xml:space="preserve"> A </w:t>
      </w:r>
      <w:proofErr w:type="gramStart"/>
      <w:r>
        <w:rPr>
          <w:rFonts w:ascii="Times New Roman" w:hAnsi="Times New Roman" w:cs="Times New Roman"/>
          <w:bCs/>
          <w:sz w:val="24"/>
        </w:rPr>
        <w:t>continuación</w:t>
      </w:r>
      <w:proofErr w:type="gramEnd"/>
      <w:r>
        <w:rPr>
          <w:rFonts w:ascii="Times New Roman" w:hAnsi="Times New Roman" w:cs="Times New Roman"/>
          <w:bCs/>
          <w:sz w:val="24"/>
        </w:rPr>
        <w:t xml:space="preserve"> </w:t>
      </w:r>
      <w:r w:rsidR="00F55966">
        <w:rPr>
          <w:rFonts w:ascii="Times New Roman" w:hAnsi="Times New Roman" w:cs="Times New Roman"/>
          <w:bCs/>
          <w:sz w:val="24"/>
        </w:rPr>
        <w:t>s</w:t>
      </w:r>
      <w:r>
        <w:rPr>
          <w:rFonts w:ascii="Times New Roman" w:hAnsi="Times New Roman" w:cs="Times New Roman"/>
          <w:bCs/>
          <w:sz w:val="24"/>
        </w:rPr>
        <w:t>e describen las principales características de la variedad y su proceso de selección.</w:t>
      </w:r>
    </w:p>
    <w:p w14:paraId="4AAE8B11" w14:textId="77777777" w:rsidR="00584F59" w:rsidRDefault="00584F59" w:rsidP="00011A25">
      <w:pPr>
        <w:spacing w:before="60" w:after="0" w:line="240" w:lineRule="auto"/>
        <w:rPr>
          <w:rFonts w:ascii="Times New Roman" w:hAnsi="Times New Roman" w:cs="Times New Roman"/>
          <w:b/>
          <w:bCs/>
          <w:sz w:val="24"/>
        </w:rPr>
      </w:pPr>
    </w:p>
    <w:p w14:paraId="2519DBA7" w14:textId="77777777" w:rsidR="00AD7CE6" w:rsidRPr="00AD7CE6" w:rsidRDefault="005A1BD4" w:rsidP="00011A25">
      <w:pPr>
        <w:spacing w:before="60" w:after="0" w:line="240" w:lineRule="auto"/>
        <w:rPr>
          <w:rFonts w:ascii="Times New Roman" w:hAnsi="Times New Roman" w:cs="Times New Roman"/>
          <w:b/>
          <w:bCs/>
          <w:sz w:val="24"/>
        </w:rPr>
      </w:pPr>
      <w:r>
        <w:rPr>
          <w:rFonts w:ascii="Times New Roman" w:hAnsi="Times New Roman" w:cs="Times New Roman"/>
          <w:b/>
          <w:bCs/>
          <w:sz w:val="24"/>
        </w:rPr>
        <w:t>MATERIALES Y MÉTODOS</w:t>
      </w:r>
    </w:p>
    <w:p w14:paraId="6C0C4C4A" w14:textId="77777777" w:rsidR="00AD7CE6" w:rsidRPr="00956DA1" w:rsidRDefault="00956DA1" w:rsidP="00011A25">
      <w:pPr>
        <w:spacing w:before="60" w:after="0" w:line="240" w:lineRule="auto"/>
        <w:jc w:val="both"/>
        <w:rPr>
          <w:rFonts w:ascii="Times New Roman" w:hAnsi="Times New Roman" w:cs="Times New Roman"/>
          <w:bCs/>
          <w:sz w:val="24"/>
          <w:szCs w:val="24"/>
        </w:rPr>
      </w:pPr>
      <w:r>
        <w:rPr>
          <w:rFonts w:ascii="Times New Roman" w:hAnsi="Times New Roman" w:cs="Times New Roman"/>
          <w:sz w:val="24"/>
          <w:szCs w:val="24"/>
        </w:rPr>
        <w:t>E</w:t>
      </w:r>
      <w:r w:rsidR="005209A0" w:rsidRPr="00956DA1">
        <w:rPr>
          <w:rFonts w:ascii="Times New Roman" w:hAnsi="Times New Roman" w:cs="Times New Roman"/>
          <w:bCs/>
          <w:sz w:val="24"/>
          <w:szCs w:val="24"/>
        </w:rPr>
        <w:t>ntre el 2012 y 2014 se evaluó la severidad del tizón tardío de INIAP-Libertad comparada con otras variedades comerciales y el testigo susceptible Uvilla, en términos de área bajo la curva relativa de progreso de la enfermedad (AUDPCR) y su correspondiente valor en la escala d</w:t>
      </w:r>
      <w:r w:rsidR="00F26FF6">
        <w:rPr>
          <w:rFonts w:ascii="Times New Roman" w:hAnsi="Times New Roman" w:cs="Times New Roman"/>
          <w:bCs/>
          <w:sz w:val="24"/>
          <w:szCs w:val="24"/>
        </w:rPr>
        <w:t>e susceptibilidad (ES) (</w:t>
      </w:r>
      <w:proofErr w:type="spellStart"/>
      <w:r w:rsidR="00F26FF6">
        <w:rPr>
          <w:rFonts w:ascii="Times New Roman" w:hAnsi="Times New Roman" w:cs="Times New Roman"/>
          <w:bCs/>
          <w:sz w:val="24"/>
          <w:szCs w:val="24"/>
        </w:rPr>
        <w:t>Yuen</w:t>
      </w:r>
      <w:proofErr w:type="spellEnd"/>
      <w:r w:rsidR="00F26FF6">
        <w:rPr>
          <w:rFonts w:ascii="Times New Roman" w:hAnsi="Times New Roman" w:cs="Times New Roman"/>
          <w:bCs/>
          <w:sz w:val="24"/>
          <w:szCs w:val="24"/>
        </w:rPr>
        <w:t xml:space="preserve"> y</w:t>
      </w:r>
      <w:r w:rsidR="005209A0" w:rsidRPr="00956DA1">
        <w:rPr>
          <w:rFonts w:ascii="Times New Roman" w:hAnsi="Times New Roman" w:cs="Times New Roman"/>
          <w:bCs/>
          <w:sz w:val="24"/>
          <w:szCs w:val="24"/>
        </w:rPr>
        <w:t xml:space="preserve"> Forbes, 2009).</w:t>
      </w:r>
    </w:p>
    <w:p w14:paraId="2ED79CAF" w14:textId="77777777" w:rsidR="005209A0" w:rsidRPr="005209A0" w:rsidRDefault="005209A0" w:rsidP="00011A25">
      <w:pPr>
        <w:spacing w:before="60" w:after="0" w:line="240" w:lineRule="auto"/>
        <w:jc w:val="both"/>
        <w:rPr>
          <w:rFonts w:ascii="Times New Roman" w:hAnsi="Times New Roman" w:cs="Times New Roman"/>
          <w:bCs/>
          <w:i/>
          <w:sz w:val="24"/>
          <w:szCs w:val="24"/>
        </w:rPr>
      </w:pPr>
      <w:r w:rsidRPr="00956DA1">
        <w:rPr>
          <w:rFonts w:ascii="Times New Roman" w:hAnsi="Times New Roman" w:cs="Times New Roman"/>
          <w:bCs/>
          <w:sz w:val="24"/>
          <w:szCs w:val="24"/>
        </w:rPr>
        <w:t>Entre el</w:t>
      </w:r>
      <w:r w:rsidR="00584F59">
        <w:rPr>
          <w:rFonts w:ascii="Times New Roman" w:hAnsi="Times New Roman" w:cs="Times New Roman"/>
          <w:bCs/>
          <w:sz w:val="24"/>
          <w:szCs w:val="24"/>
        </w:rPr>
        <w:t xml:space="preserve"> </w:t>
      </w:r>
      <w:r w:rsidRPr="00956DA1">
        <w:rPr>
          <w:rFonts w:ascii="Times New Roman" w:hAnsi="Times New Roman" w:cs="Times New Roman"/>
          <w:bCs/>
          <w:sz w:val="24"/>
          <w:szCs w:val="24"/>
        </w:rPr>
        <w:t>2008 y 2009 se evaluó la tasa de impacto ambiental (TIA)</w:t>
      </w:r>
      <w:r w:rsidR="00CD39BF" w:rsidRPr="00956DA1">
        <w:rPr>
          <w:rFonts w:ascii="Times New Roman" w:hAnsi="Times New Roman" w:cs="Times New Roman"/>
          <w:bCs/>
          <w:sz w:val="24"/>
          <w:szCs w:val="24"/>
        </w:rPr>
        <w:t xml:space="preserve"> (</w:t>
      </w:r>
      <w:proofErr w:type="spellStart"/>
      <w:r w:rsidR="00CD39BF" w:rsidRPr="00956DA1">
        <w:rPr>
          <w:rFonts w:ascii="Times New Roman" w:hAnsi="Times New Roman" w:cs="Times New Roman"/>
          <w:bCs/>
          <w:sz w:val="24"/>
          <w:szCs w:val="24"/>
        </w:rPr>
        <w:t>Kromann</w:t>
      </w:r>
      <w:proofErr w:type="spellEnd"/>
      <w:r w:rsidR="00CD39BF" w:rsidRPr="00956DA1">
        <w:rPr>
          <w:rFonts w:ascii="Times New Roman" w:hAnsi="Times New Roman" w:cs="Times New Roman"/>
          <w:bCs/>
          <w:sz w:val="24"/>
          <w:szCs w:val="24"/>
        </w:rPr>
        <w:t xml:space="preserve"> et al., 2011)</w:t>
      </w:r>
      <w:r w:rsidRPr="005209A0">
        <w:rPr>
          <w:rFonts w:ascii="Times New Roman" w:hAnsi="Times New Roman" w:cs="Times New Roman"/>
          <w:bCs/>
          <w:sz w:val="24"/>
          <w:szCs w:val="24"/>
        </w:rPr>
        <w:t xml:space="preserve"> en dos sistemas de producción de papa: a) sistema convencional, que consistía en variedades de papas tardías y susceptibles al tizón tardío (</w:t>
      </w:r>
      <w:proofErr w:type="spellStart"/>
      <w:r w:rsidRPr="005209A0">
        <w:rPr>
          <w:rFonts w:ascii="Times New Roman" w:hAnsi="Times New Roman" w:cs="Times New Roman"/>
          <w:bCs/>
          <w:sz w:val="24"/>
          <w:szCs w:val="24"/>
        </w:rPr>
        <w:t>Diacol</w:t>
      </w:r>
      <w:proofErr w:type="spellEnd"/>
      <w:r w:rsidRPr="005209A0">
        <w:rPr>
          <w:rFonts w:ascii="Times New Roman" w:hAnsi="Times New Roman" w:cs="Times New Roman"/>
          <w:bCs/>
          <w:sz w:val="24"/>
          <w:szCs w:val="24"/>
        </w:rPr>
        <w:t xml:space="preserve">-Capiro y </w:t>
      </w:r>
      <w:proofErr w:type="spellStart"/>
      <w:r w:rsidRPr="005209A0">
        <w:rPr>
          <w:rFonts w:ascii="Times New Roman" w:hAnsi="Times New Roman" w:cs="Times New Roman"/>
          <w:bCs/>
          <w:sz w:val="24"/>
          <w:szCs w:val="24"/>
        </w:rPr>
        <w:t>Superchola</w:t>
      </w:r>
      <w:proofErr w:type="spellEnd"/>
      <w:r w:rsidRPr="005209A0">
        <w:rPr>
          <w:rFonts w:ascii="Times New Roman" w:hAnsi="Times New Roman" w:cs="Times New Roman"/>
          <w:bCs/>
          <w:sz w:val="24"/>
          <w:szCs w:val="24"/>
        </w:rPr>
        <w:t>) con aplicaciones frecuentes de plaguicidas y b) sistema, que considera el manejo integrado de plagas y enfermedades (MIPE), el cual consistió en el uso de INIAP-Libertad</w:t>
      </w:r>
      <w:r w:rsidR="00584F59">
        <w:rPr>
          <w:rFonts w:ascii="Times New Roman" w:hAnsi="Times New Roman" w:cs="Times New Roman"/>
          <w:bCs/>
          <w:sz w:val="24"/>
          <w:szCs w:val="24"/>
        </w:rPr>
        <w:t xml:space="preserve"> </w:t>
      </w:r>
      <w:r w:rsidRPr="005209A0">
        <w:rPr>
          <w:rFonts w:ascii="Times New Roman" w:hAnsi="Times New Roman" w:cs="Times New Roman"/>
          <w:bCs/>
          <w:sz w:val="24"/>
          <w:szCs w:val="24"/>
        </w:rPr>
        <w:t xml:space="preserve">y la aplicación de fosfitos para el control de </w:t>
      </w:r>
      <w:proofErr w:type="spellStart"/>
      <w:r w:rsidR="00956DA1">
        <w:rPr>
          <w:rFonts w:ascii="Times New Roman" w:hAnsi="Times New Roman" w:cs="Times New Roman"/>
          <w:bCs/>
          <w:i/>
          <w:sz w:val="24"/>
          <w:szCs w:val="24"/>
        </w:rPr>
        <w:t>Phytophthora</w:t>
      </w:r>
      <w:proofErr w:type="spellEnd"/>
      <w:r w:rsidRPr="005209A0">
        <w:rPr>
          <w:rFonts w:ascii="Times New Roman" w:hAnsi="Times New Roman" w:cs="Times New Roman"/>
          <w:bCs/>
          <w:i/>
          <w:sz w:val="24"/>
          <w:szCs w:val="24"/>
        </w:rPr>
        <w:t xml:space="preserve"> </w:t>
      </w:r>
      <w:proofErr w:type="spellStart"/>
      <w:r w:rsidRPr="005209A0">
        <w:rPr>
          <w:rFonts w:ascii="Times New Roman" w:hAnsi="Times New Roman" w:cs="Times New Roman"/>
          <w:bCs/>
          <w:i/>
          <w:sz w:val="24"/>
          <w:szCs w:val="24"/>
        </w:rPr>
        <w:t>infestans</w:t>
      </w:r>
      <w:proofErr w:type="spellEnd"/>
      <w:r w:rsidRPr="005209A0">
        <w:rPr>
          <w:rFonts w:ascii="Times New Roman" w:hAnsi="Times New Roman" w:cs="Times New Roman"/>
          <w:bCs/>
          <w:i/>
          <w:sz w:val="24"/>
          <w:szCs w:val="24"/>
        </w:rPr>
        <w:t>.</w:t>
      </w:r>
    </w:p>
    <w:p w14:paraId="20A2AB56" w14:textId="77777777" w:rsidR="005209A0" w:rsidRDefault="005209A0" w:rsidP="00011A25">
      <w:pPr>
        <w:spacing w:before="60" w:after="0" w:line="240" w:lineRule="auto"/>
        <w:jc w:val="both"/>
        <w:rPr>
          <w:rFonts w:ascii="Times New Roman" w:eastAsia="Calibri" w:hAnsi="Times New Roman" w:cs="Times New Roman"/>
          <w:sz w:val="24"/>
          <w:szCs w:val="24"/>
          <w:lang w:val="es-MX" w:eastAsia="es-EC"/>
        </w:rPr>
      </w:pPr>
      <w:r w:rsidRPr="005209A0">
        <w:rPr>
          <w:rFonts w:ascii="Times New Roman" w:hAnsi="Times New Roman" w:cs="Times New Roman"/>
          <w:bCs/>
          <w:sz w:val="24"/>
          <w:szCs w:val="24"/>
        </w:rPr>
        <w:t>Para medir la estabilidad de la variedad INIAP-Libertad se realizaron dos análisis: de efectos principales aditivos y de la interacción multiplicativa (AMMI) (</w:t>
      </w:r>
      <w:proofErr w:type="spellStart"/>
      <w:r w:rsidRPr="005209A0">
        <w:rPr>
          <w:rFonts w:ascii="Times New Roman" w:hAnsi="Times New Roman" w:cs="Times New Roman"/>
          <w:bCs/>
          <w:sz w:val="24"/>
          <w:szCs w:val="24"/>
        </w:rPr>
        <w:t>Gauch</w:t>
      </w:r>
      <w:proofErr w:type="spellEnd"/>
      <w:r w:rsidRPr="005209A0">
        <w:rPr>
          <w:rFonts w:ascii="Times New Roman" w:hAnsi="Times New Roman" w:cs="Times New Roman"/>
          <w:bCs/>
          <w:sz w:val="24"/>
          <w:szCs w:val="24"/>
        </w:rPr>
        <w:t xml:space="preserve"> </w:t>
      </w:r>
      <w:r w:rsidRPr="00956DA1">
        <w:rPr>
          <w:rFonts w:ascii="Times New Roman" w:hAnsi="Times New Roman" w:cs="Times New Roman"/>
          <w:bCs/>
          <w:sz w:val="24"/>
          <w:szCs w:val="24"/>
        </w:rPr>
        <w:t>et al.,</w:t>
      </w:r>
      <w:r w:rsidRPr="005209A0">
        <w:rPr>
          <w:rFonts w:ascii="Times New Roman" w:hAnsi="Times New Roman" w:cs="Times New Roman"/>
          <w:bCs/>
          <w:sz w:val="24"/>
          <w:szCs w:val="24"/>
        </w:rPr>
        <w:t xml:space="preserve"> 2008) y el modelo de regresión lineal </w:t>
      </w:r>
      <w:r w:rsidR="00F26FF6">
        <w:rPr>
          <w:rFonts w:ascii="Times New Roman" w:eastAsia="Calibri" w:hAnsi="Times New Roman" w:cs="Times New Roman"/>
          <w:sz w:val="24"/>
          <w:szCs w:val="24"/>
          <w:lang w:val="es-MX" w:eastAsia="es-EC"/>
        </w:rPr>
        <w:t>(</w:t>
      </w:r>
      <w:proofErr w:type="spellStart"/>
      <w:r w:rsidR="00F26FF6">
        <w:rPr>
          <w:rFonts w:ascii="Times New Roman" w:eastAsia="Calibri" w:hAnsi="Times New Roman" w:cs="Times New Roman"/>
          <w:sz w:val="24"/>
          <w:szCs w:val="24"/>
          <w:lang w:val="es-MX" w:eastAsia="es-EC"/>
        </w:rPr>
        <w:t>Eberhart</w:t>
      </w:r>
      <w:proofErr w:type="spellEnd"/>
      <w:r w:rsidR="00F26FF6">
        <w:rPr>
          <w:rFonts w:ascii="Times New Roman" w:eastAsia="Calibri" w:hAnsi="Times New Roman" w:cs="Times New Roman"/>
          <w:sz w:val="24"/>
          <w:szCs w:val="24"/>
          <w:lang w:val="es-MX" w:eastAsia="es-EC"/>
        </w:rPr>
        <w:t xml:space="preserve"> y</w:t>
      </w:r>
      <w:r w:rsidRPr="005209A0">
        <w:rPr>
          <w:rFonts w:ascii="Times New Roman" w:eastAsia="Calibri" w:hAnsi="Times New Roman" w:cs="Times New Roman"/>
          <w:sz w:val="24"/>
          <w:szCs w:val="24"/>
          <w:lang w:val="es-MX" w:eastAsia="es-EC"/>
        </w:rPr>
        <w:t xml:space="preserve"> Russell 1966).</w:t>
      </w:r>
      <w:r>
        <w:rPr>
          <w:rFonts w:ascii="Times New Roman" w:eastAsia="Calibri" w:hAnsi="Times New Roman" w:cs="Times New Roman"/>
          <w:sz w:val="24"/>
          <w:szCs w:val="24"/>
          <w:lang w:val="es-MX" w:eastAsia="es-EC"/>
        </w:rPr>
        <w:t xml:space="preserve"> Para la evaluación de la calidad para procesamiento se realizaron evaluaciones sensoriales con la empresa KFC (Ponce et al</w:t>
      </w:r>
      <w:r w:rsidR="00956DA1">
        <w:rPr>
          <w:rFonts w:ascii="Times New Roman" w:eastAsia="Calibri" w:hAnsi="Times New Roman" w:cs="Times New Roman"/>
          <w:sz w:val="24"/>
          <w:szCs w:val="24"/>
          <w:lang w:val="es-MX" w:eastAsia="es-EC"/>
        </w:rPr>
        <w:t>.</w:t>
      </w:r>
      <w:r>
        <w:rPr>
          <w:rFonts w:ascii="Times New Roman" w:eastAsia="Calibri" w:hAnsi="Times New Roman" w:cs="Times New Roman"/>
          <w:sz w:val="24"/>
          <w:szCs w:val="24"/>
          <w:lang w:val="es-MX" w:eastAsia="es-EC"/>
        </w:rPr>
        <w:t>, 2014).</w:t>
      </w:r>
    </w:p>
    <w:p w14:paraId="1B93B9D7" w14:textId="77777777" w:rsidR="00F920CA" w:rsidRPr="005209A0" w:rsidRDefault="00F920CA" w:rsidP="00011A25">
      <w:pPr>
        <w:spacing w:before="60" w:after="0" w:line="240" w:lineRule="auto"/>
        <w:jc w:val="both"/>
        <w:rPr>
          <w:rFonts w:ascii="Times New Roman" w:hAnsi="Times New Roman" w:cs="Times New Roman"/>
          <w:bCs/>
          <w:sz w:val="24"/>
          <w:szCs w:val="24"/>
        </w:rPr>
      </w:pPr>
    </w:p>
    <w:p w14:paraId="0D4D3E68" w14:textId="77777777" w:rsidR="00956DA1" w:rsidRDefault="005A1BD4" w:rsidP="00011A25">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RESULTADOS Y DISCUSIÓN</w:t>
      </w:r>
    </w:p>
    <w:p w14:paraId="6214C358" w14:textId="5287C1AE" w:rsidR="005209A0" w:rsidRPr="00011A25" w:rsidRDefault="005209A0" w:rsidP="00011A25">
      <w:pPr>
        <w:spacing w:before="60" w:after="0" w:line="240" w:lineRule="auto"/>
        <w:jc w:val="both"/>
        <w:rPr>
          <w:rFonts w:ascii="Times New Roman" w:hAnsi="Times New Roman" w:cs="Times New Roman"/>
          <w:b/>
          <w:sz w:val="24"/>
          <w:szCs w:val="24"/>
        </w:rPr>
      </w:pPr>
      <w:r w:rsidRPr="00956DA1">
        <w:rPr>
          <w:rFonts w:ascii="Times New Roman" w:hAnsi="Times New Roman" w:cs="Times New Roman"/>
          <w:bCs/>
          <w:sz w:val="24"/>
          <w:szCs w:val="24"/>
        </w:rPr>
        <w:t>Para los tres ciclos de evaluación el AUDPCR estuvo comprendido entre 0 y 0.13 con un ES entre 0 y 2, los cuales son los valores más bajos comparados con las otras variedades comerciales y el testigo Uvilla, lo cual demuestra su resistencia a la enfermedad.</w:t>
      </w:r>
      <w:r w:rsidR="00011A25">
        <w:rPr>
          <w:rFonts w:ascii="Times New Roman" w:hAnsi="Times New Roman" w:cs="Times New Roman"/>
          <w:b/>
          <w:sz w:val="24"/>
          <w:szCs w:val="24"/>
        </w:rPr>
        <w:t xml:space="preserve"> </w:t>
      </w:r>
      <w:r w:rsidR="00956DA1">
        <w:rPr>
          <w:rFonts w:ascii="Times New Roman" w:hAnsi="Times New Roman" w:cs="Times New Roman"/>
          <w:bCs/>
          <w:sz w:val="24"/>
          <w:szCs w:val="24"/>
        </w:rPr>
        <w:t>E</w:t>
      </w:r>
      <w:r w:rsidRPr="00956DA1">
        <w:rPr>
          <w:rFonts w:ascii="Times New Roman" w:hAnsi="Times New Roman" w:cs="Times New Roman"/>
          <w:bCs/>
          <w:sz w:val="24"/>
          <w:szCs w:val="24"/>
        </w:rPr>
        <w:t>l sistema MIPE obtuvo un TIA entre 40 y 88 comparado con el manejo convencional con valores TIA entre 419 para INIAP-</w:t>
      </w:r>
      <w:proofErr w:type="spellStart"/>
      <w:r w:rsidRPr="00956DA1">
        <w:rPr>
          <w:rFonts w:ascii="Times New Roman" w:hAnsi="Times New Roman" w:cs="Times New Roman"/>
          <w:bCs/>
          <w:sz w:val="24"/>
          <w:szCs w:val="24"/>
        </w:rPr>
        <w:t>Fripapa</w:t>
      </w:r>
      <w:proofErr w:type="spellEnd"/>
      <w:r w:rsidRPr="00956DA1">
        <w:rPr>
          <w:rFonts w:ascii="Times New Roman" w:hAnsi="Times New Roman" w:cs="Times New Roman"/>
          <w:bCs/>
          <w:sz w:val="24"/>
          <w:szCs w:val="24"/>
        </w:rPr>
        <w:t xml:space="preserve"> y 1,235 para DIACOL-Capiro. Lo cual demuestra que la variedad INIAP-Libertad bajo un sistema MIPE, requiere un menor uso de pesticidas y por lo tanto su impacto ambiental es el más bajo, lo cual </w:t>
      </w:r>
      <w:r w:rsidR="00D5430E">
        <w:rPr>
          <w:rFonts w:ascii="Times New Roman" w:hAnsi="Times New Roman" w:cs="Times New Roman"/>
          <w:bCs/>
          <w:sz w:val="24"/>
          <w:szCs w:val="24"/>
        </w:rPr>
        <w:t>se asocia</w:t>
      </w:r>
      <w:r w:rsidRPr="00956DA1">
        <w:rPr>
          <w:rFonts w:ascii="Times New Roman" w:hAnsi="Times New Roman" w:cs="Times New Roman"/>
          <w:bCs/>
          <w:sz w:val="24"/>
          <w:szCs w:val="24"/>
        </w:rPr>
        <w:t xml:space="preserve"> con su resistencia al tizón tardío y su precocidad</w:t>
      </w:r>
    </w:p>
    <w:p w14:paraId="5196F736" w14:textId="20161208" w:rsidR="005209A0" w:rsidRDefault="005209A0" w:rsidP="00011A25">
      <w:pPr>
        <w:spacing w:before="60" w:after="0" w:line="240" w:lineRule="auto"/>
        <w:jc w:val="both"/>
        <w:rPr>
          <w:rFonts w:ascii="Times New Roman" w:hAnsi="Times New Roman" w:cs="Times New Roman"/>
          <w:bCs/>
          <w:sz w:val="24"/>
        </w:rPr>
      </w:pPr>
      <w:r w:rsidRPr="00956DA1">
        <w:rPr>
          <w:rFonts w:ascii="Times New Roman" w:hAnsi="Times New Roman" w:cs="Times New Roman"/>
          <w:bCs/>
          <w:sz w:val="24"/>
        </w:rPr>
        <w:t>El análisis de estabilidad utilizando</w:t>
      </w:r>
      <w:r w:rsidRPr="005209A0">
        <w:rPr>
          <w:rFonts w:ascii="Times New Roman" w:hAnsi="Times New Roman" w:cs="Times New Roman"/>
          <w:bCs/>
          <w:sz w:val="24"/>
        </w:rPr>
        <w:t xml:space="preserve"> el modelo de regresión lineal </w:t>
      </w:r>
      <w:r w:rsidRPr="005209A0">
        <w:rPr>
          <w:rFonts w:ascii="Times New Roman" w:eastAsia="Calibri" w:hAnsi="Times New Roman" w:cs="Times New Roman"/>
          <w:sz w:val="24"/>
          <w:szCs w:val="24"/>
          <w:lang w:val="es-MX" w:eastAsia="es-EC"/>
        </w:rPr>
        <w:t xml:space="preserve">estableció que el rendimiento de INIAP-Libertad fue superior tanto para ambientes con condiciones poco favorables como en ambientes favorables para el desarrollo del cultivo, lo cual es corroborado por el análisis AMMI el cual además establece que </w:t>
      </w:r>
      <w:r w:rsidRPr="005209A0">
        <w:rPr>
          <w:rFonts w:ascii="Times New Roman" w:hAnsi="Times New Roman" w:cs="Times New Roman"/>
          <w:bCs/>
          <w:sz w:val="24"/>
        </w:rPr>
        <w:t>la mayor variación se debe al efecto del ambiente, con 57.81%, en comparación con el efecto del genotipo (18.66%) y el de la interacción (GEI) (23.52%).</w:t>
      </w:r>
      <w:r w:rsidR="00584F59">
        <w:rPr>
          <w:rFonts w:ascii="Times New Roman" w:hAnsi="Times New Roman" w:cs="Times New Roman"/>
          <w:bCs/>
          <w:sz w:val="24"/>
        </w:rPr>
        <w:t xml:space="preserve"> </w:t>
      </w:r>
      <w:r w:rsidRPr="005209A0">
        <w:rPr>
          <w:rFonts w:ascii="Times New Roman" w:hAnsi="Times New Roman" w:cs="Times New Roman"/>
          <w:bCs/>
          <w:sz w:val="24"/>
        </w:rPr>
        <w:t xml:space="preserve">La variedad INIAP-Libertad a pesar de tener los mayores rendimientos en la mayoría de </w:t>
      </w:r>
      <w:r w:rsidR="00011A25" w:rsidRPr="005209A0">
        <w:rPr>
          <w:rFonts w:ascii="Times New Roman" w:hAnsi="Times New Roman" w:cs="Times New Roman"/>
          <w:bCs/>
          <w:sz w:val="24"/>
        </w:rPr>
        <w:t>las localidades</w:t>
      </w:r>
      <w:r w:rsidRPr="005209A0">
        <w:rPr>
          <w:rFonts w:ascii="Times New Roman" w:hAnsi="Times New Roman" w:cs="Times New Roman"/>
          <w:bCs/>
          <w:sz w:val="24"/>
        </w:rPr>
        <w:t>, es sensible a la GEI y está más asociada con las localidades de Tungurahua, Pichincha y Chimborazo, donde presenta un mejor comportamiento en lo que se refiere al rendimiento.</w:t>
      </w:r>
      <w:r w:rsidR="00584F59">
        <w:rPr>
          <w:rFonts w:ascii="Times New Roman" w:hAnsi="Times New Roman" w:cs="Times New Roman"/>
          <w:bCs/>
          <w:sz w:val="24"/>
        </w:rPr>
        <w:t xml:space="preserve"> </w:t>
      </w:r>
    </w:p>
    <w:p w14:paraId="2796B034" w14:textId="77777777" w:rsidR="00F920CA" w:rsidRDefault="00F920CA" w:rsidP="00011A25">
      <w:pPr>
        <w:spacing w:before="60" w:after="0" w:line="240" w:lineRule="auto"/>
        <w:jc w:val="both"/>
        <w:rPr>
          <w:rFonts w:ascii="Times New Roman" w:hAnsi="Times New Roman" w:cs="Times New Roman"/>
          <w:bCs/>
          <w:sz w:val="24"/>
        </w:rPr>
      </w:pPr>
      <w:r>
        <w:rPr>
          <w:rFonts w:ascii="Times New Roman" w:hAnsi="Times New Roman" w:cs="Times New Roman"/>
          <w:bCs/>
          <w:sz w:val="24"/>
        </w:rPr>
        <w:t xml:space="preserve">Es una variedad precoz pues su ciclo de cultivo está entre 100 a 120 días, </w:t>
      </w:r>
      <w:r w:rsidR="006B177B">
        <w:rPr>
          <w:rFonts w:ascii="Times New Roman" w:hAnsi="Times New Roman" w:cs="Times New Roman"/>
          <w:bCs/>
          <w:sz w:val="24"/>
        </w:rPr>
        <w:t>con un</w:t>
      </w:r>
      <w:r>
        <w:rPr>
          <w:rFonts w:ascii="Times New Roman" w:hAnsi="Times New Roman" w:cs="Times New Roman"/>
          <w:bCs/>
          <w:sz w:val="24"/>
        </w:rPr>
        <w:t xml:space="preserve"> rango de rendimiento </w:t>
      </w:r>
      <w:r w:rsidR="006B177B">
        <w:rPr>
          <w:rFonts w:ascii="Times New Roman" w:hAnsi="Times New Roman" w:cs="Times New Roman"/>
          <w:bCs/>
          <w:sz w:val="24"/>
        </w:rPr>
        <w:t>de</w:t>
      </w:r>
      <w:r>
        <w:rPr>
          <w:rFonts w:ascii="Times New Roman" w:hAnsi="Times New Roman" w:cs="Times New Roman"/>
          <w:bCs/>
          <w:sz w:val="24"/>
        </w:rPr>
        <w:t xml:space="preserve"> 25 a 48 t/ha. El contenido de materia seca promedio es de 22%, con azúcares reductores menores al 0.070%, el tubérculo tiene forma ovalada con ojos superficiales, piel de color amarillo y pulpa color crema. </w:t>
      </w:r>
      <w:r w:rsidR="005A1BD4">
        <w:rPr>
          <w:rFonts w:ascii="Times New Roman" w:hAnsi="Times New Roman" w:cs="Times New Roman"/>
          <w:sz w:val="24"/>
        </w:rPr>
        <w:t>La dormancia del tubérculo se estima en 90 días</w:t>
      </w:r>
      <w:r w:rsidR="001C2D85">
        <w:rPr>
          <w:rFonts w:ascii="Times New Roman" w:hAnsi="Times New Roman" w:cs="Times New Roman"/>
          <w:sz w:val="24"/>
        </w:rPr>
        <w:t>.</w:t>
      </w:r>
      <w:r w:rsidR="005A1BD4">
        <w:rPr>
          <w:rFonts w:ascii="Times New Roman" w:hAnsi="Times New Roman" w:cs="Times New Roman"/>
          <w:bCs/>
          <w:sz w:val="24"/>
        </w:rPr>
        <w:t xml:space="preserve"> </w:t>
      </w:r>
      <w:r w:rsidR="005E0DDC">
        <w:rPr>
          <w:rFonts w:ascii="Times New Roman" w:hAnsi="Times New Roman" w:cs="Times New Roman"/>
          <w:bCs/>
          <w:sz w:val="24"/>
        </w:rPr>
        <w:t>Se recomienda para las p</w:t>
      </w:r>
      <w:r>
        <w:rPr>
          <w:rFonts w:ascii="Times New Roman" w:hAnsi="Times New Roman" w:cs="Times New Roman"/>
          <w:bCs/>
          <w:sz w:val="24"/>
        </w:rPr>
        <w:t>rovincias de Tungurahua, Pichincha y Chimborazo.</w:t>
      </w:r>
      <w:r w:rsidR="00207D46">
        <w:rPr>
          <w:rFonts w:ascii="Times New Roman" w:hAnsi="Times New Roman" w:cs="Times New Roman"/>
          <w:bCs/>
          <w:sz w:val="24"/>
        </w:rPr>
        <w:t xml:space="preserve"> Se puede utilizar para procesamiento en forma de papa frita tipo bastón.</w:t>
      </w:r>
    </w:p>
    <w:p w14:paraId="5AF28FB5" w14:textId="77777777" w:rsidR="00F920CA" w:rsidRPr="005209A0" w:rsidRDefault="00F920CA" w:rsidP="00011A25">
      <w:pPr>
        <w:spacing w:before="60" w:after="0" w:line="240" w:lineRule="auto"/>
        <w:jc w:val="both"/>
        <w:rPr>
          <w:rFonts w:ascii="Times New Roman" w:hAnsi="Times New Roman" w:cs="Times New Roman"/>
          <w:bCs/>
          <w:sz w:val="24"/>
        </w:rPr>
      </w:pPr>
    </w:p>
    <w:p w14:paraId="26800446" w14:textId="77777777" w:rsidR="005209A0" w:rsidRPr="005209A0" w:rsidRDefault="005A1BD4" w:rsidP="00011A25">
      <w:pPr>
        <w:spacing w:before="6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CONCLUSIONES</w:t>
      </w:r>
    </w:p>
    <w:p w14:paraId="1830AC07" w14:textId="3D35DBC7" w:rsidR="005209A0" w:rsidRPr="005E0DDC" w:rsidRDefault="00772FB0" w:rsidP="00011A25">
      <w:pPr>
        <w:spacing w:before="60" w:after="0" w:line="240" w:lineRule="auto"/>
        <w:jc w:val="both"/>
        <w:rPr>
          <w:rFonts w:ascii="Times New Roman" w:hAnsi="Times New Roman" w:cs="Times New Roman"/>
          <w:bCs/>
          <w:sz w:val="24"/>
          <w:szCs w:val="24"/>
        </w:rPr>
      </w:pPr>
      <w:r w:rsidRPr="005E0DDC">
        <w:rPr>
          <w:rFonts w:ascii="Times New Roman" w:hAnsi="Times New Roman" w:cs="Times New Roman"/>
          <w:bCs/>
          <w:sz w:val="24"/>
          <w:szCs w:val="24"/>
        </w:rPr>
        <w:t>La información de AUDPCR y</w:t>
      </w:r>
      <w:r w:rsidR="00D5430E">
        <w:rPr>
          <w:rFonts w:ascii="Times New Roman" w:hAnsi="Times New Roman" w:cs="Times New Roman"/>
          <w:bCs/>
          <w:sz w:val="24"/>
          <w:szCs w:val="24"/>
        </w:rPr>
        <w:t xml:space="preserve"> ES demuestra</w:t>
      </w:r>
      <w:r w:rsidRPr="005E0DDC">
        <w:rPr>
          <w:rFonts w:ascii="Times New Roman" w:hAnsi="Times New Roman" w:cs="Times New Roman"/>
          <w:bCs/>
          <w:sz w:val="24"/>
          <w:szCs w:val="24"/>
        </w:rPr>
        <w:t xml:space="preserve"> que </w:t>
      </w:r>
      <w:r w:rsidR="00F920CA" w:rsidRPr="005E0DDC">
        <w:rPr>
          <w:rFonts w:ascii="Times New Roman" w:hAnsi="Times New Roman" w:cs="Times New Roman"/>
          <w:bCs/>
          <w:sz w:val="24"/>
          <w:szCs w:val="24"/>
        </w:rPr>
        <w:t>INIAP-Libertad posee resistencia al tizón tardío</w:t>
      </w:r>
      <w:r w:rsidR="00F55966" w:rsidRPr="005E0DDC">
        <w:rPr>
          <w:rFonts w:ascii="Times New Roman" w:hAnsi="Times New Roman" w:cs="Times New Roman"/>
          <w:bCs/>
          <w:sz w:val="24"/>
          <w:szCs w:val="24"/>
        </w:rPr>
        <w:t>.</w:t>
      </w:r>
      <w:r w:rsidR="00584F59">
        <w:rPr>
          <w:rFonts w:ascii="Times New Roman" w:hAnsi="Times New Roman" w:cs="Times New Roman"/>
          <w:bCs/>
          <w:sz w:val="24"/>
          <w:szCs w:val="24"/>
        </w:rPr>
        <w:t xml:space="preserve"> </w:t>
      </w:r>
      <w:r w:rsidR="005209A0" w:rsidRPr="005E0DDC">
        <w:rPr>
          <w:rFonts w:ascii="Times New Roman" w:hAnsi="Times New Roman" w:cs="Times New Roman"/>
          <w:bCs/>
          <w:sz w:val="24"/>
          <w:szCs w:val="24"/>
        </w:rPr>
        <w:t xml:space="preserve">INIAP-Libertad </w:t>
      </w:r>
      <w:r w:rsidR="00D5430E">
        <w:rPr>
          <w:rFonts w:ascii="Times New Roman" w:hAnsi="Times New Roman" w:cs="Times New Roman"/>
          <w:bCs/>
          <w:sz w:val="24"/>
          <w:szCs w:val="24"/>
        </w:rPr>
        <w:t>–</w:t>
      </w:r>
      <w:r w:rsidR="005209A0" w:rsidRPr="005E0DDC">
        <w:rPr>
          <w:rFonts w:ascii="Times New Roman" w:hAnsi="Times New Roman" w:cs="Times New Roman"/>
          <w:bCs/>
          <w:sz w:val="24"/>
          <w:szCs w:val="24"/>
        </w:rPr>
        <w:t>b</w:t>
      </w:r>
      <w:r w:rsidR="00D5430E">
        <w:rPr>
          <w:rFonts w:ascii="Times New Roman" w:hAnsi="Times New Roman" w:cs="Times New Roman"/>
          <w:bCs/>
          <w:sz w:val="24"/>
          <w:szCs w:val="24"/>
        </w:rPr>
        <w:t>ajo un sistema MIPE–</w:t>
      </w:r>
      <w:r w:rsidR="005209A0" w:rsidRPr="005E0DDC">
        <w:rPr>
          <w:rFonts w:ascii="Times New Roman" w:hAnsi="Times New Roman" w:cs="Times New Roman"/>
          <w:bCs/>
          <w:sz w:val="24"/>
          <w:szCs w:val="24"/>
        </w:rPr>
        <w:t xml:space="preserve"> requiere menor uso de pesticidas</w:t>
      </w:r>
      <w:r w:rsidR="00F920CA" w:rsidRPr="005E0DDC">
        <w:rPr>
          <w:rFonts w:ascii="Times New Roman" w:hAnsi="Times New Roman" w:cs="Times New Roman"/>
          <w:bCs/>
          <w:sz w:val="24"/>
          <w:szCs w:val="24"/>
        </w:rPr>
        <w:t>, lo cual sumado a su ciclo de cultivo menor a 120 días</w:t>
      </w:r>
      <w:r w:rsidR="005209A0" w:rsidRPr="005E0DDC">
        <w:rPr>
          <w:rFonts w:ascii="Times New Roman" w:hAnsi="Times New Roman" w:cs="Times New Roman"/>
          <w:bCs/>
          <w:sz w:val="24"/>
          <w:szCs w:val="24"/>
        </w:rPr>
        <w:t xml:space="preserve"> </w:t>
      </w:r>
      <w:r w:rsidR="00F920CA" w:rsidRPr="005E0DDC">
        <w:rPr>
          <w:rFonts w:ascii="Times New Roman" w:hAnsi="Times New Roman" w:cs="Times New Roman"/>
          <w:bCs/>
          <w:sz w:val="24"/>
          <w:szCs w:val="24"/>
        </w:rPr>
        <w:t xml:space="preserve">representa un </w:t>
      </w:r>
      <w:r w:rsidR="005209A0" w:rsidRPr="005E0DDC">
        <w:rPr>
          <w:rFonts w:ascii="Times New Roman" w:hAnsi="Times New Roman" w:cs="Times New Roman"/>
          <w:bCs/>
          <w:sz w:val="24"/>
          <w:szCs w:val="24"/>
        </w:rPr>
        <w:t xml:space="preserve">impacto ambiental </w:t>
      </w:r>
      <w:r w:rsidR="00F920CA" w:rsidRPr="005E0DDC">
        <w:rPr>
          <w:rFonts w:ascii="Times New Roman" w:hAnsi="Times New Roman" w:cs="Times New Roman"/>
          <w:bCs/>
          <w:sz w:val="24"/>
          <w:szCs w:val="24"/>
        </w:rPr>
        <w:t xml:space="preserve">bajo comparado con las variedades </w:t>
      </w:r>
      <w:r w:rsidR="00011A25">
        <w:rPr>
          <w:rFonts w:ascii="Times New Roman" w:hAnsi="Times New Roman" w:cs="Times New Roman"/>
          <w:bCs/>
          <w:sz w:val="24"/>
          <w:szCs w:val="24"/>
        </w:rPr>
        <w:t xml:space="preserve">más </w:t>
      </w:r>
      <w:r w:rsidR="00F920CA" w:rsidRPr="005E0DDC">
        <w:rPr>
          <w:rFonts w:ascii="Times New Roman" w:hAnsi="Times New Roman" w:cs="Times New Roman"/>
          <w:bCs/>
          <w:sz w:val="24"/>
          <w:szCs w:val="24"/>
        </w:rPr>
        <w:t>comerciales</w:t>
      </w:r>
      <w:r w:rsidR="00D5430E">
        <w:rPr>
          <w:rFonts w:ascii="Times New Roman" w:hAnsi="Times New Roman" w:cs="Times New Roman"/>
          <w:bCs/>
          <w:sz w:val="24"/>
          <w:szCs w:val="24"/>
        </w:rPr>
        <w:t xml:space="preserve"> de papa</w:t>
      </w:r>
      <w:r w:rsidR="00584F59">
        <w:rPr>
          <w:rFonts w:ascii="Times New Roman" w:hAnsi="Times New Roman" w:cs="Times New Roman"/>
          <w:bCs/>
          <w:sz w:val="24"/>
          <w:szCs w:val="24"/>
        </w:rPr>
        <w:t xml:space="preserve">. </w:t>
      </w:r>
      <w:r w:rsidR="00011A25">
        <w:rPr>
          <w:rFonts w:ascii="Times New Roman" w:hAnsi="Times New Roman" w:cs="Times New Roman"/>
          <w:bCs/>
          <w:sz w:val="24"/>
          <w:szCs w:val="24"/>
        </w:rPr>
        <w:t>Además, p</w:t>
      </w:r>
      <w:r w:rsidR="005209A0" w:rsidRPr="005E0DDC">
        <w:rPr>
          <w:rFonts w:ascii="Times New Roman" w:hAnsi="Times New Roman" w:cs="Times New Roman"/>
          <w:bCs/>
          <w:sz w:val="24"/>
          <w:szCs w:val="24"/>
        </w:rPr>
        <w:t xml:space="preserve">or sus características de calidad </w:t>
      </w:r>
      <w:r w:rsidR="00D5430E" w:rsidRPr="005E0DDC">
        <w:rPr>
          <w:rFonts w:ascii="Times New Roman" w:hAnsi="Times New Roman" w:cs="Times New Roman"/>
          <w:bCs/>
          <w:sz w:val="24"/>
          <w:szCs w:val="24"/>
        </w:rPr>
        <w:t xml:space="preserve">INIAP-Libertad </w:t>
      </w:r>
      <w:r w:rsidR="005209A0" w:rsidRPr="005E0DDC">
        <w:rPr>
          <w:rFonts w:ascii="Times New Roman" w:hAnsi="Times New Roman" w:cs="Times New Roman"/>
          <w:bCs/>
          <w:sz w:val="24"/>
          <w:szCs w:val="24"/>
        </w:rPr>
        <w:t xml:space="preserve">puede </w:t>
      </w:r>
      <w:r w:rsidR="00D5430E">
        <w:rPr>
          <w:rFonts w:ascii="Times New Roman" w:hAnsi="Times New Roman" w:cs="Times New Roman"/>
          <w:bCs/>
          <w:sz w:val="24"/>
          <w:szCs w:val="24"/>
        </w:rPr>
        <w:t>utilizarse</w:t>
      </w:r>
      <w:r w:rsidR="005209A0" w:rsidRPr="005E0DDC">
        <w:rPr>
          <w:rFonts w:ascii="Times New Roman" w:hAnsi="Times New Roman" w:cs="Times New Roman"/>
          <w:bCs/>
          <w:sz w:val="24"/>
          <w:szCs w:val="24"/>
        </w:rPr>
        <w:t xml:space="preserve"> </w:t>
      </w:r>
      <w:r w:rsidR="00011A25">
        <w:rPr>
          <w:rFonts w:ascii="Times New Roman" w:hAnsi="Times New Roman" w:cs="Times New Roman"/>
          <w:bCs/>
          <w:sz w:val="24"/>
          <w:szCs w:val="24"/>
        </w:rPr>
        <w:t>en procesos industriales</w:t>
      </w:r>
      <w:r w:rsidR="00F920CA" w:rsidRPr="005E0DDC">
        <w:rPr>
          <w:rFonts w:ascii="Times New Roman" w:hAnsi="Times New Roman" w:cs="Times New Roman"/>
          <w:bCs/>
          <w:sz w:val="24"/>
          <w:szCs w:val="24"/>
        </w:rPr>
        <w:t>.</w:t>
      </w:r>
    </w:p>
    <w:p w14:paraId="1E443DAB" w14:textId="77777777" w:rsidR="007510E2" w:rsidRDefault="007510E2" w:rsidP="00011A25">
      <w:pPr>
        <w:spacing w:before="60" w:after="0" w:line="240" w:lineRule="auto"/>
        <w:jc w:val="both"/>
        <w:rPr>
          <w:rFonts w:ascii="Times New Roman" w:hAnsi="Times New Roman" w:cs="Times New Roman"/>
          <w:b/>
          <w:sz w:val="24"/>
          <w:szCs w:val="24"/>
        </w:rPr>
      </w:pPr>
    </w:p>
    <w:p w14:paraId="3AFE9AA5" w14:textId="77777777" w:rsidR="005209A0" w:rsidRPr="00584F59" w:rsidRDefault="005A1BD4" w:rsidP="00011A25">
      <w:pPr>
        <w:spacing w:before="60" w:after="0" w:line="240" w:lineRule="auto"/>
        <w:jc w:val="both"/>
        <w:rPr>
          <w:rFonts w:ascii="Times New Roman" w:hAnsi="Times New Roman" w:cs="Times New Roman"/>
          <w:b/>
          <w:sz w:val="24"/>
          <w:szCs w:val="24"/>
          <w:lang w:val="en-US"/>
        </w:rPr>
      </w:pPr>
      <w:r w:rsidRPr="00584F59">
        <w:rPr>
          <w:rFonts w:ascii="Times New Roman" w:hAnsi="Times New Roman" w:cs="Times New Roman"/>
          <w:b/>
          <w:sz w:val="24"/>
          <w:szCs w:val="24"/>
          <w:lang w:val="en-US"/>
        </w:rPr>
        <w:t>BIBLIOGRAFÍA</w:t>
      </w:r>
    </w:p>
    <w:p w14:paraId="547F7765" w14:textId="77777777" w:rsidR="003E5411" w:rsidRPr="00011A25" w:rsidRDefault="00F26FF6" w:rsidP="00011A25">
      <w:pPr>
        <w:spacing w:before="60" w:after="0" w:line="240" w:lineRule="auto"/>
        <w:ind w:left="360" w:hanging="360"/>
        <w:jc w:val="both"/>
        <w:rPr>
          <w:rFonts w:ascii="Times New Roman" w:eastAsia="Calibri" w:hAnsi="Times New Roman" w:cs="Times New Roman"/>
          <w:sz w:val="23"/>
          <w:szCs w:val="23"/>
          <w:lang w:val="en-US" w:eastAsia="es-EC"/>
        </w:rPr>
      </w:pPr>
      <w:r w:rsidRPr="00011A25">
        <w:rPr>
          <w:rFonts w:ascii="Times New Roman" w:eastAsia="Calibri" w:hAnsi="Times New Roman" w:cs="Times New Roman"/>
          <w:sz w:val="23"/>
          <w:szCs w:val="23"/>
          <w:lang w:val="en-US" w:eastAsia="es-EC"/>
        </w:rPr>
        <w:t>Eberhart, R.E.</w:t>
      </w:r>
      <w:r w:rsidR="00D5430E" w:rsidRPr="00011A25">
        <w:rPr>
          <w:rFonts w:ascii="Times New Roman" w:eastAsia="Calibri" w:hAnsi="Times New Roman" w:cs="Times New Roman"/>
          <w:sz w:val="23"/>
          <w:szCs w:val="23"/>
          <w:lang w:val="en-US" w:eastAsia="es-EC"/>
        </w:rPr>
        <w:t>,</w:t>
      </w:r>
      <w:r w:rsidRPr="00011A25">
        <w:rPr>
          <w:rFonts w:ascii="Times New Roman" w:eastAsia="Calibri" w:hAnsi="Times New Roman" w:cs="Times New Roman"/>
          <w:sz w:val="23"/>
          <w:szCs w:val="23"/>
          <w:lang w:val="en-US" w:eastAsia="es-EC"/>
        </w:rPr>
        <w:t xml:space="preserve"> y</w:t>
      </w:r>
      <w:r w:rsidR="003E5411" w:rsidRPr="00011A25">
        <w:rPr>
          <w:rFonts w:ascii="Times New Roman" w:eastAsia="Calibri" w:hAnsi="Times New Roman" w:cs="Times New Roman"/>
          <w:sz w:val="23"/>
          <w:szCs w:val="23"/>
          <w:lang w:val="en-US" w:eastAsia="es-EC"/>
        </w:rPr>
        <w:t xml:space="preserve"> </w:t>
      </w:r>
      <w:r w:rsidR="00D5430E" w:rsidRPr="00011A25">
        <w:rPr>
          <w:rFonts w:ascii="Times New Roman" w:eastAsia="Calibri" w:hAnsi="Times New Roman" w:cs="Times New Roman"/>
          <w:sz w:val="23"/>
          <w:szCs w:val="23"/>
          <w:lang w:val="en-US" w:eastAsia="es-EC"/>
        </w:rPr>
        <w:t>W.A. Russell</w:t>
      </w:r>
      <w:r w:rsidR="003E5411" w:rsidRPr="00011A25">
        <w:rPr>
          <w:rFonts w:ascii="Times New Roman" w:eastAsia="Calibri" w:hAnsi="Times New Roman" w:cs="Times New Roman"/>
          <w:sz w:val="23"/>
          <w:szCs w:val="23"/>
          <w:lang w:val="en-US" w:eastAsia="es-EC"/>
        </w:rPr>
        <w:t>. 1966. Stability parameters for comparing</w:t>
      </w:r>
      <w:r w:rsidR="00D5430E" w:rsidRPr="00011A25">
        <w:rPr>
          <w:rFonts w:ascii="Times New Roman" w:eastAsia="Calibri" w:hAnsi="Times New Roman" w:cs="Times New Roman"/>
          <w:sz w:val="23"/>
          <w:szCs w:val="23"/>
          <w:lang w:val="en-US" w:eastAsia="es-EC"/>
        </w:rPr>
        <w:t xml:space="preserve"> varieties. Crop. Sci. </w:t>
      </w:r>
      <w:r w:rsidR="003E5411" w:rsidRPr="00011A25">
        <w:rPr>
          <w:rFonts w:ascii="Times New Roman" w:eastAsia="Calibri" w:hAnsi="Times New Roman" w:cs="Times New Roman"/>
          <w:sz w:val="23"/>
          <w:szCs w:val="23"/>
          <w:lang w:val="en-US" w:eastAsia="es-EC"/>
        </w:rPr>
        <w:t>6:36</w:t>
      </w:r>
      <w:r w:rsidR="00584F59" w:rsidRPr="00011A25">
        <w:rPr>
          <w:rFonts w:ascii="Times New Roman" w:eastAsia="Calibri" w:hAnsi="Times New Roman" w:cs="Times New Roman"/>
          <w:sz w:val="23"/>
          <w:szCs w:val="23"/>
          <w:lang w:val="en-US" w:eastAsia="es-EC"/>
        </w:rPr>
        <w:t>–</w:t>
      </w:r>
      <w:r w:rsidR="003E5411" w:rsidRPr="00011A25">
        <w:rPr>
          <w:rFonts w:ascii="Times New Roman" w:eastAsia="Calibri" w:hAnsi="Times New Roman" w:cs="Times New Roman"/>
          <w:sz w:val="23"/>
          <w:szCs w:val="23"/>
          <w:lang w:val="en-US" w:eastAsia="es-EC"/>
        </w:rPr>
        <w:t>40.</w:t>
      </w:r>
    </w:p>
    <w:p w14:paraId="39143429" w14:textId="77777777" w:rsidR="003E5411" w:rsidRPr="00011A25" w:rsidRDefault="003E5411" w:rsidP="00011A25">
      <w:pPr>
        <w:spacing w:after="0" w:line="240" w:lineRule="auto"/>
        <w:ind w:left="360" w:hanging="360"/>
        <w:jc w:val="both"/>
        <w:rPr>
          <w:rFonts w:ascii="Times New Roman" w:eastAsia="Calibri" w:hAnsi="Times New Roman" w:cs="Times New Roman"/>
          <w:sz w:val="23"/>
          <w:szCs w:val="23"/>
          <w:lang w:val="es-ES" w:eastAsia="es-EC"/>
        </w:rPr>
      </w:pPr>
      <w:proofErr w:type="spellStart"/>
      <w:r w:rsidRPr="00011A25">
        <w:rPr>
          <w:rFonts w:ascii="Times New Roman" w:eastAsia="Calibri" w:hAnsi="Times New Roman" w:cs="Times New Roman"/>
          <w:sz w:val="23"/>
          <w:szCs w:val="23"/>
          <w:lang w:val="en-US" w:eastAsia="es-EC"/>
        </w:rPr>
        <w:t>Ga</w:t>
      </w:r>
      <w:r w:rsidR="00F26FF6" w:rsidRPr="00011A25">
        <w:rPr>
          <w:rFonts w:ascii="Times New Roman" w:eastAsia="Calibri" w:hAnsi="Times New Roman" w:cs="Times New Roman"/>
          <w:sz w:val="23"/>
          <w:szCs w:val="23"/>
          <w:lang w:val="en-US" w:eastAsia="es-EC"/>
        </w:rPr>
        <w:t>uch</w:t>
      </w:r>
      <w:proofErr w:type="spellEnd"/>
      <w:r w:rsidR="00584F59" w:rsidRPr="00011A25">
        <w:rPr>
          <w:rFonts w:ascii="Times New Roman" w:eastAsia="Calibri" w:hAnsi="Times New Roman" w:cs="Times New Roman"/>
          <w:sz w:val="23"/>
          <w:szCs w:val="23"/>
          <w:lang w:val="en-US" w:eastAsia="es-EC"/>
        </w:rPr>
        <w:t>,</w:t>
      </w:r>
      <w:r w:rsidR="00F26FF6" w:rsidRPr="00011A25">
        <w:rPr>
          <w:rFonts w:ascii="Times New Roman" w:eastAsia="Calibri" w:hAnsi="Times New Roman" w:cs="Times New Roman"/>
          <w:sz w:val="23"/>
          <w:szCs w:val="23"/>
          <w:lang w:val="en-US" w:eastAsia="es-EC"/>
        </w:rPr>
        <w:t xml:space="preserve"> H.G</w:t>
      </w:r>
      <w:r w:rsidR="00D5430E" w:rsidRPr="00011A25">
        <w:rPr>
          <w:rFonts w:ascii="Times New Roman" w:eastAsia="Calibri" w:hAnsi="Times New Roman" w:cs="Times New Roman"/>
          <w:sz w:val="23"/>
          <w:szCs w:val="23"/>
          <w:lang w:val="en-US" w:eastAsia="es-EC"/>
        </w:rPr>
        <w:t>., H.P.</w:t>
      </w:r>
      <w:r w:rsidR="00F26FF6" w:rsidRPr="00011A25">
        <w:rPr>
          <w:rFonts w:ascii="Times New Roman" w:eastAsia="Calibri" w:hAnsi="Times New Roman" w:cs="Times New Roman"/>
          <w:sz w:val="23"/>
          <w:szCs w:val="23"/>
          <w:lang w:val="en-US" w:eastAsia="es-EC"/>
        </w:rPr>
        <w:t xml:space="preserve"> </w:t>
      </w:r>
      <w:proofErr w:type="spellStart"/>
      <w:r w:rsidR="00D5430E" w:rsidRPr="00011A25">
        <w:rPr>
          <w:rFonts w:ascii="Times New Roman" w:eastAsia="Calibri" w:hAnsi="Times New Roman" w:cs="Times New Roman"/>
          <w:sz w:val="23"/>
          <w:szCs w:val="23"/>
          <w:lang w:val="en-US" w:eastAsia="es-EC"/>
        </w:rPr>
        <w:t>Piepho</w:t>
      </w:r>
      <w:proofErr w:type="spellEnd"/>
      <w:r w:rsidR="00D5430E" w:rsidRPr="00011A25">
        <w:rPr>
          <w:rFonts w:ascii="Times New Roman" w:eastAsia="Calibri" w:hAnsi="Times New Roman" w:cs="Times New Roman"/>
          <w:sz w:val="23"/>
          <w:szCs w:val="23"/>
          <w:lang w:val="en-US" w:eastAsia="es-EC"/>
        </w:rPr>
        <w:t xml:space="preserve">, </w:t>
      </w:r>
      <w:r w:rsidR="00F26FF6" w:rsidRPr="00011A25">
        <w:rPr>
          <w:rFonts w:ascii="Times New Roman" w:eastAsia="Calibri" w:hAnsi="Times New Roman" w:cs="Times New Roman"/>
          <w:sz w:val="23"/>
          <w:szCs w:val="23"/>
          <w:lang w:val="en-US" w:eastAsia="es-EC"/>
        </w:rPr>
        <w:t>y</w:t>
      </w:r>
      <w:r w:rsidR="00E0542A" w:rsidRPr="00011A25">
        <w:rPr>
          <w:rFonts w:ascii="Times New Roman" w:eastAsia="Calibri" w:hAnsi="Times New Roman" w:cs="Times New Roman"/>
          <w:sz w:val="23"/>
          <w:szCs w:val="23"/>
          <w:lang w:val="en-US" w:eastAsia="es-EC"/>
        </w:rPr>
        <w:t xml:space="preserve"> </w:t>
      </w:r>
      <w:r w:rsidR="00D5430E" w:rsidRPr="00011A25">
        <w:rPr>
          <w:rFonts w:ascii="Times New Roman" w:eastAsia="Calibri" w:hAnsi="Times New Roman" w:cs="Times New Roman"/>
          <w:sz w:val="23"/>
          <w:szCs w:val="23"/>
          <w:lang w:val="en-US" w:eastAsia="es-EC"/>
        </w:rPr>
        <w:t xml:space="preserve">P. </w:t>
      </w:r>
      <w:proofErr w:type="spellStart"/>
      <w:r w:rsidR="00D5430E" w:rsidRPr="00011A25">
        <w:rPr>
          <w:rFonts w:ascii="Times New Roman" w:eastAsia="Calibri" w:hAnsi="Times New Roman" w:cs="Times New Roman"/>
          <w:sz w:val="23"/>
          <w:szCs w:val="23"/>
          <w:lang w:val="en-US" w:eastAsia="es-EC"/>
        </w:rPr>
        <w:t>Annicchiarico</w:t>
      </w:r>
      <w:proofErr w:type="spellEnd"/>
      <w:r w:rsidR="00E0542A" w:rsidRPr="00011A25">
        <w:rPr>
          <w:rFonts w:ascii="Times New Roman" w:eastAsia="Calibri" w:hAnsi="Times New Roman" w:cs="Times New Roman"/>
          <w:sz w:val="23"/>
          <w:szCs w:val="23"/>
          <w:lang w:val="en-US" w:eastAsia="es-EC"/>
        </w:rPr>
        <w:t>. 2008.</w:t>
      </w:r>
      <w:r w:rsidRPr="00011A25">
        <w:rPr>
          <w:rFonts w:ascii="Times New Roman" w:eastAsia="Calibri" w:hAnsi="Times New Roman" w:cs="Times New Roman"/>
          <w:sz w:val="23"/>
          <w:szCs w:val="23"/>
          <w:lang w:val="en-US" w:eastAsia="es-EC"/>
        </w:rPr>
        <w:t xml:space="preserve"> Statistical analysis of yield trials by AMMI and GGE: Further considerations. </w:t>
      </w:r>
      <w:proofErr w:type="spellStart"/>
      <w:r w:rsidRPr="00011A25">
        <w:rPr>
          <w:rFonts w:ascii="Times New Roman" w:eastAsia="Calibri" w:hAnsi="Times New Roman" w:cs="Times New Roman"/>
          <w:sz w:val="23"/>
          <w:szCs w:val="23"/>
          <w:lang w:val="es-ES" w:eastAsia="es-EC"/>
        </w:rPr>
        <w:t>Crop</w:t>
      </w:r>
      <w:proofErr w:type="spellEnd"/>
      <w:r w:rsidRPr="00011A25">
        <w:rPr>
          <w:rFonts w:ascii="Times New Roman" w:eastAsia="Calibri" w:hAnsi="Times New Roman" w:cs="Times New Roman"/>
          <w:sz w:val="23"/>
          <w:szCs w:val="23"/>
          <w:lang w:val="es-ES" w:eastAsia="es-EC"/>
        </w:rPr>
        <w:t xml:space="preserve"> </w:t>
      </w:r>
      <w:proofErr w:type="spellStart"/>
      <w:r w:rsidRPr="00011A25">
        <w:rPr>
          <w:rFonts w:ascii="Times New Roman" w:eastAsia="Calibri" w:hAnsi="Times New Roman" w:cs="Times New Roman"/>
          <w:sz w:val="23"/>
          <w:szCs w:val="23"/>
          <w:lang w:val="es-ES" w:eastAsia="es-EC"/>
        </w:rPr>
        <w:t>Science</w:t>
      </w:r>
      <w:proofErr w:type="spellEnd"/>
      <w:r w:rsidR="00D5430E" w:rsidRPr="00011A25">
        <w:rPr>
          <w:rFonts w:ascii="Times New Roman" w:eastAsia="Calibri" w:hAnsi="Times New Roman" w:cs="Times New Roman"/>
          <w:sz w:val="23"/>
          <w:szCs w:val="23"/>
          <w:lang w:val="es-ES" w:eastAsia="es-EC"/>
        </w:rPr>
        <w:t>.</w:t>
      </w:r>
      <w:r w:rsidRPr="00011A25">
        <w:rPr>
          <w:rFonts w:ascii="Times New Roman" w:eastAsia="Calibri" w:hAnsi="Times New Roman" w:cs="Times New Roman"/>
          <w:sz w:val="23"/>
          <w:szCs w:val="23"/>
          <w:lang w:val="es-ES" w:eastAsia="es-EC"/>
        </w:rPr>
        <w:t xml:space="preserve"> 48:866</w:t>
      </w:r>
      <w:r w:rsidR="00D5430E" w:rsidRPr="00011A25">
        <w:rPr>
          <w:rFonts w:ascii="Times New Roman" w:eastAsia="Calibri" w:hAnsi="Times New Roman" w:cs="Times New Roman"/>
          <w:sz w:val="23"/>
          <w:szCs w:val="23"/>
          <w:lang w:val="es-ES" w:eastAsia="es-EC"/>
        </w:rPr>
        <w:t>–</w:t>
      </w:r>
      <w:r w:rsidRPr="00011A25">
        <w:rPr>
          <w:rFonts w:ascii="Times New Roman" w:eastAsia="Calibri" w:hAnsi="Times New Roman" w:cs="Times New Roman"/>
          <w:sz w:val="23"/>
          <w:szCs w:val="23"/>
          <w:lang w:val="es-ES" w:eastAsia="es-EC"/>
        </w:rPr>
        <w:t>889.</w:t>
      </w:r>
    </w:p>
    <w:p w14:paraId="5721D3E6" w14:textId="77777777" w:rsidR="003E5411" w:rsidRPr="00011A25" w:rsidRDefault="00A44D34" w:rsidP="00011A25">
      <w:pPr>
        <w:spacing w:after="0" w:line="240" w:lineRule="auto"/>
        <w:ind w:left="360" w:hanging="360"/>
        <w:jc w:val="both"/>
        <w:rPr>
          <w:rFonts w:ascii="Times New Roman" w:hAnsi="Times New Roman" w:cs="Times New Roman"/>
          <w:sz w:val="23"/>
          <w:szCs w:val="23"/>
        </w:rPr>
      </w:pPr>
      <w:r w:rsidRPr="00011A25">
        <w:rPr>
          <w:rFonts w:ascii="Times New Roman" w:hAnsi="Times New Roman" w:cs="Times New Roman"/>
          <w:sz w:val="23"/>
          <w:szCs w:val="23"/>
          <w:lang w:val="es-ES"/>
        </w:rPr>
        <w:t>Huarte, M. 2001</w:t>
      </w:r>
      <w:r w:rsidR="003E5411" w:rsidRPr="00011A25">
        <w:rPr>
          <w:rFonts w:ascii="Times New Roman" w:hAnsi="Times New Roman" w:cs="Times New Roman"/>
          <w:sz w:val="23"/>
          <w:szCs w:val="23"/>
          <w:lang w:val="es-ES"/>
        </w:rPr>
        <w:t xml:space="preserve">. </w:t>
      </w:r>
      <w:proofErr w:type="spellStart"/>
      <w:r w:rsidR="003E5411" w:rsidRPr="00011A25">
        <w:rPr>
          <w:rFonts w:ascii="Times New Roman" w:hAnsi="Times New Roman" w:cs="Times New Roman"/>
          <w:sz w:val="23"/>
          <w:szCs w:val="23"/>
          <w:lang w:val="es-ES"/>
        </w:rPr>
        <w:t>Nive</w:t>
      </w:r>
      <w:proofErr w:type="spellEnd"/>
      <w:r w:rsidR="003E5411" w:rsidRPr="00011A25">
        <w:rPr>
          <w:rFonts w:ascii="Times New Roman" w:hAnsi="Times New Roman" w:cs="Times New Roman"/>
          <w:sz w:val="23"/>
          <w:szCs w:val="23"/>
        </w:rPr>
        <w:t xml:space="preserve">les disponibles de resistencia al tizón tardío en Latinoamérica. </w:t>
      </w:r>
      <w:r w:rsidR="00D5430E" w:rsidRPr="00011A25">
        <w:rPr>
          <w:rFonts w:ascii="Times New Roman" w:hAnsi="Times New Roman" w:cs="Times New Roman"/>
          <w:sz w:val="23"/>
          <w:szCs w:val="23"/>
          <w:lang w:val="es-ES"/>
        </w:rPr>
        <w:t xml:space="preserve">pp. 59–66. </w:t>
      </w:r>
      <w:r w:rsidR="00D5430E" w:rsidRPr="00011A25">
        <w:rPr>
          <w:rFonts w:ascii="Times New Roman" w:hAnsi="Times New Roman" w:cs="Times New Roman"/>
          <w:i/>
          <w:sz w:val="23"/>
          <w:szCs w:val="23"/>
          <w:lang w:val="en-US"/>
        </w:rPr>
        <w:t>In:</w:t>
      </w:r>
      <w:r w:rsidR="00D5430E" w:rsidRPr="00011A25">
        <w:rPr>
          <w:rFonts w:ascii="Times New Roman" w:hAnsi="Times New Roman" w:cs="Times New Roman"/>
          <w:sz w:val="23"/>
          <w:szCs w:val="23"/>
          <w:lang w:val="en-US"/>
        </w:rPr>
        <w:t xml:space="preserve"> </w:t>
      </w:r>
      <w:r w:rsidR="003E5411" w:rsidRPr="00011A25">
        <w:rPr>
          <w:rFonts w:ascii="Times New Roman" w:hAnsi="Times New Roman" w:cs="Times New Roman"/>
          <w:sz w:val="23"/>
          <w:szCs w:val="23"/>
          <w:lang w:val="en-US"/>
        </w:rPr>
        <w:t>International Workshop on complementing resistance to late blight (</w:t>
      </w:r>
      <w:r w:rsidR="003E5411" w:rsidRPr="00011A25">
        <w:rPr>
          <w:rFonts w:ascii="Times New Roman" w:hAnsi="Times New Roman" w:cs="Times New Roman"/>
          <w:i/>
          <w:sz w:val="23"/>
          <w:szCs w:val="23"/>
          <w:lang w:val="en-US"/>
        </w:rPr>
        <w:t xml:space="preserve">Phytophthora </w:t>
      </w:r>
      <w:proofErr w:type="spellStart"/>
      <w:r w:rsidR="003E5411" w:rsidRPr="00011A25">
        <w:rPr>
          <w:rFonts w:ascii="Times New Roman" w:hAnsi="Times New Roman" w:cs="Times New Roman"/>
          <w:i/>
          <w:sz w:val="23"/>
          <w:szCs w:val="23"/>
          <w:lang w:val="en-US"/>
        </w:rPr>
        <w:t>infestans</w:t>
      </w:r>
      <w:proofErr w:type="spellEnd"/>
      <w:r w:rsidR="003E5411" w:rsidRPr="00011A25">
        <w:rPr>
          <w:rFonts w:ascii="Times New Roman" w:hAnsi="Times New Roman" w:cs="Times New Roman"/>
          <w:sz w:val="23"/>
          <w:szCs w:val="23"/>
          <w:lang w:val="en-US"/>
        </w:rPr>
        <w:t xml:space="preserve">) in the Andes. </w:t>
      </w:r>
      <w:r w:rsidR="003E5411" w:rsidRPr="00011A25">
        <w:rPr>
          <w:rFonts w:ascii="Times New Roman" w:hAnsi="Times New Roman" w:cs="Times New Roman"/>
          <w:sz w:val="23"/>
          <w:szCs w:val="23"/>
        </w:rPr>
        <w:t xml:space="preserve">GILB </w:t>
      </w:r>
      <w:proofErr w:type="spellStart"/>
      <w:r w:rsidR="003E5411" w:rsidRPr="00011A25">
        <w:rPr>
          <w:rFonts w:ascii="Times New Roman" w:hAnsi="Times New Roman" w:cs="Times New Roman"/>
          <w:sz w:val="23"/>
          <w:szCs w:val="23"/>
        </w:rPr>
        <w:t>Latin</w:t>
      </w:r>
      <w:proofErr w:type="spellEnd"/>
      <w:r w:rsidR="003E5411" w:rsidRPr="00011A25">
        <w:rPr>
          <w:rFonts w:ascii="Times New Roman" w:hAnsi="Times New Roman" w:cs="Times New Roman"/>
          <w:sz w:val="23"/>
          <w:szCs w:val="23"/>
        </w:rPr>
        <w:t xml:space="preserve"> American</w:t>
      </w:r>
      <w:r w:rsidRPr="00011A25">
        <w:rPr>
          <w:rFonts w:ascii="Times New Roman" w:hAnsi="Times New Roman" w:cs="Times New Roman"/>
          <w:sz w:val="23"/>
          <w:szCs w:val="23"/>
        </w:rPr>
        <w:t xml:space="preserve"> (E. Fernández-</w:t>
      </w:r>
      <w:proofErr w:type="spellStart"/>
      <w:r w:rsidRPr="00011A25">
        <w:rPr>
          <w:rFonts w:ascii="Times New Roman" w:hAnsi="Times New Roman" w:cs="Times New Roman"/>
          <w:sz w:val="23"/>
          <w:szCs w:val="23"/>
        </w:rPr>
        <w:t>Northcote</w:t>
      </w:r>
      <w:proofErr w:type="spellEnd"/>
      <w:r w:rsidRPr="00011A25">
        <w:rPr>
          <w:rFonts w:ascii="Times New Roman" w:hAnsi="Times New Roman" w:cs="Times New Roman"/>
          <w:sz w:val="23"/>
          <w:szCs w:val="23"/>
        </w:rPr>
        <w:t>, ed.).</w:t>
      </w:r>
      <w:r w:rsidR="003E5411" w:rsidRPr="00011A25">
        <w:rPr>
          <w:rFonts w:ascii="Times New Roman" w:hAnsi="Times New Roman" w:cs="Times New Roman"/>
          <w:sz w:val="23"/>
          <w:szCs w:val="23"/>
        </w:rPr>
        <w:t xml:space="preserve"> </w:t>
      </w:r>
    </w:p>
    <w:p w14:paraId="47CAF193" w14:textId="77777777" w:rsidR="00A44D34" w:rsidRPr="00011A25" w:rsidRDefault="00956DA1" w:rsidP="00011A25">
      <w:pPr>
        <w:spacing w:after="0" w:line="240" w:lineRule="auto"/>
        <w:ind w:left="360" w:hanging="360"/>
        <w:jc w:val="both"/>
        <w:rPr>
          <w:rFonts w:ascii="Times New Roman" w:hAnsi="Times New Roman" w:cs="Times New Roman"/>
          <w:sz w:val="23"/>
          <w:szCs w:val="23"/>
        </w:rPr>
      </w:pPr>
      <w:proofErr w:type="spellStart"/>
      <w:r w:rsidRPr="00011A25">
        <w:rPr>
          <w:rFonts w:ascii="Times New Roman" w:hAnsi="Times New Roman" w:cs="Times New Roman"/>
          <w:sz w:val="23"/>
          <w:szCs w:val="23"/>
          <w:lang w:val="es-ES"/>
        </w:rPr>
        <w:t>Kromann</w:t>
      </w:r>
      <w:proofErr w:type="spellEnd"/>
      <w:r w:rsidR="00A44D34" w:rsidRPr="00011A25">
        <w:rPr>
          <w:rFonts w:ascii="Times New Roman" w:hAnsi="Times New Roman" w:cs="Times New Roman"/>
          <w:sz w:val="23"/>
          <w:szCs w:val="23"/>
          <w:lang w:val="es-ES"/>
        </w:rPr>
        <w:t>,</w:t>
      </w:r>
      <w:r w:rsidRPr="00011A25">
        <w:rPr>
          <w:rFonts w:ascii="Times New Roman" w:hAnsi="Times New Roman" w:cs="Times New Roman"/>
          <w:sz w:val="23"/>
          <w:szCs w:val="23"/>
          <w:lang w:val="es-ES"/>
        </w:rPr>
        <w:t xml:space="preserve"> P</w:t>
      </w:r>
      <w:r w:rsidR="00D5430E" w:rsidRPr="00011A25">
        <w:rPr>
          <w:rFonts w:ascii="Times New Roman" w:hAnsi="Times New Roman" w:cs="Times New Roman"/>
          <w:sz w:val="23"/>
          <w:szCs w:val="23"/>
          <w:lang w:val="es-ES"/>
        </w:rPr>
        <w:t>., W.</w:t>
      </w:r>
      <w:r w:rsidRPr="00011A25">
        <w:rPr>
          <w:rFonts w:ascii="Times New Roman" w:hAnsi="Times New Roman" w:cs="Times New Roman"/>
          <w:sz w:val="23"/>
          <w:szCs w:val="23"/>
          <w:lang w:val="es-ES"/>
        </w:rPr>
        <w:t xml:space="preserve"> </w:t>
      </w:r>
      <w:proofErr w:type="spellStart"/>
      <w:r w:rsidRPr="00011A25">
        <w:rPr>
          <w:rFonts w:ascii="Times New Roman" w:hAnsi="Times New Roman" w:cs="Times New Roman"/>
          <w:sz w:val="23"/>
          <w:szCs w:val="23"/>
          <w:lang w:val="es-ES"/>
        </w:rPr>
        <w:t>Pradel</w:t>
      </w:r>
      <w:proofErr w:type="spellEnd"/>
      <w:r w:rsidR="00A44D34" w:rsidRPr="00011A25">
        <w:rPr>
          <w:rFonts w:ascii="Times New Roman" w:hAnsi="Times New Roman" w:cs="Times New Roman"/>
          <w:sz w:val="23"/>
          <w:szCs w:val="23"/>
          <w:lang w:val="es-ES"/>
        </w:rPr>
        <w:t>,</w:t>
      </w:r>
      <w:r w:rsidRPr="00011A25">
        <w:rPr>
          <w:rFonts w:ascii="Times New Roman" w:hAnsi="Times New Roman" w:cs="Times New Roman"/>
          <w:sz w:val="23"/>
          <w:szCs w:val="23"/>
          <w:lang w:val="es-ES"/>
        </w:rPr>
        <w:t xml:space="preserve"> </w:t>
      </w:r>
      <w:r w:rsidR="00D5430E" w:rsidRPr="00011A25">
        <w:rPr>
          <w:rFonts w:ascii="Times New Roman" w:hAnsi="Times New Roman" w:cs="Times New Roman"/>
          <w:sz w:val="23"/>
          <w:szCs w:val="23"/>
          <w:lang w:val="es-ES"/>
        </w:rPr>
        <w:t>D.</w:t>
      </w:r>
      <w:r w:rsidRPr="00011A25">
        <w:rPr>
          <w:rFonts w:ascii="Times New Roman" w:hAnsi="Times New Roman" w:cs="Times New Roman"/>
          <w:sz w:val="23"/>
          <w:szCs w:val="23"/>
          <w:lang w:val="es-ES"/>
        </w:rPr>
        <w:t xml:space="preserve"> Cole</w:t>
      </w:r>
      <w:r w:rsidR="00A44D34" w:rsidRPr="00011A25">
        <w:rPr>
          <w:rFonts w:ascii="Times New Roman" w:hAnsi="Times New Roman" w:cs="Times New Roman"/>
          <w:sz w:val="23"/>
          <w:szCs w:val="23"/>
          <w:lang w:val="es-ES"/>
        </w:rPr>
        <w:t>,</w:t>
      </w:r>
      <w:r w:rsidRPr="00011A25">
        <w:rPr>
          <w:rFonts w:ascii="Times New Roman" w:hAnsi="Times New Roman" w:cs="Times New Roman"/>
          <w:sz w:val="23"/>
          <w:szCs w:val="23"/>
          <w:lang w:val="es-ES"/>
        </w:rPr>
        <w:t xml:space="preserve"> </w:t>
      </w:r>
      <w:r w:rsidR="00D5430E" w:rsidRPr="00011A25">
        <w:rPr>
          <w:rFonts w:ascii="Times New Roman" w:hAnsi="Times New Roman" w:cs="Times New Roman"/>
          <w:sz w:val="23"/>
          <w:szCs w:val="23"/>
          <w:lang w:val="es-ES"/>
        </w:rPr>
        <w:t xml:space="preserve">A. </w:t>
      </w:r>
      <w:proofErr w:type="spellStart"/>
      <w:r w:rsidRPr="00011A25">
        <w:rPr>
          <w:rFonts w:ascii="Times New Roman" w:hAnsi="Times New Roman" w:cs="Times New Roman"/>
          <w:sz w:val="23"/>
          <w:szCs w:val="23"/>
          <w:lang w:val="es-ES"/>
        </w:rPr>
        <w:t>Taipe</w:t>
      </w:r>
      <w:proofErr w:type="spellEnd"/>
      <w:r w:rsidR="00A44D34" w:rsidRPr="00011A25">
        <w:rPr>
          <w:rFonts w:ascii="Times New Roman" w:hAnsi="Times New Roman" w:cs="Times New Roman"/>
          <w:sz w:val="23"/>
          <w:szCs w:val="23"/>
          <w:lang w:val="es-ES"/>
        </w:rPr>
        <w:t>,</w:t>
      </w:r>
      <w:r w:rsidRPr="00011A25">
        <w:rPr>
          <w:rFonts w:ascii="Times New Roman" w:hAnsi="Times New Roman" w:cs="Times New Roman"/>
          <w:sz w:val="23"/>
          <w:szCs w:val="23"/>
          <w:lang w:val="es-ES"/>
        </w:rPr>
        <w:t xml:space="preserve"> </w:t>
      </w:r>
      <w:r w:rsidR="00F26FF6" w:rsidRPr="00011A25">
        <w:rPr>
          <w:rFonts w:ascii="Times New Roman" w:hAnsi="Times New Roman" w:cs="Times New Roman"/>
          <w:sz w:val="23"/>
          <w:szCs w:val="23"/>
          <w:lang w:val="es-ES"/>
        </w:rPr>
        <w:t>y</w:t>
      </w:r>
      <w:r w:rsidR="00A44D34" w:rsidRPr="00011A25">
        <w:rPr>
          <w:rFonts w:ascii="Times New Roman" w:hAnsi="Times New Roman" w:cs="Times New Roman"/>
          <w:sz w:val="23"/>
          <w:szCs w:val="23"/>
          <w:lang w:val="es-ES"/>
        </w:rPr>
        <w:t xml:space="preserve"> </w:t>
      </w:r>
      <w:r w:rsidR="00D5430E" w:rsidRPr="00011A25">
        <w:rPr>
          <w:rFonts w:ascii="Times New Roman" w:hAnsi="Times New Roman" w:cs="Times New Roman"/>
          <w:sz w:val="23"/>
          <w:szCs w:val="23"/>
          <w:lang w:val="es-ES"/>
        </w:rPr>
        <w:t xml:space="preserve">G.A. </w:t>
      </w:r>
      <w:r w:rsidRPr="00011A25">
        <w:rPr>
          <w:rFonts w:ascii="Times New Roman" w:hAnsi="Times New Roman" w:cs="Times New Roman"/>
          <w:sz w:val="23"/>
          <w:szCs w:val="23"/>
          <w:lang w:val="es-ES"/>
        </w:rPr>
        <w:t>Forbes</w:t>
      </w:r>
      <w:r w:rsidR="00A44D34" w:rsidRPr="00011A25">
        <w:rPr>
          <w:rFonts w:ascii="Times New Roman" w:hAnsi="Times New Roman" w:cs="Times New Roman"/>
          <w:sz w:val="23"/>
          <w:szCs w:val="23"/>
          <w:lang w:val="es-ES"/>
        </w:rPr>
        <w:t xml:space="preserve">. </w:t>
      </w:r>
      <w:r w:rsidR="00A44D34" w:rsidRPr="00011A25">
        <w:rPr>
          <w:rFonts w:ascii="Times New Roman" w:hAnsi="Times New Roman" w:cs="Times New Roman"/>
          <w:sz w:val="23"/>
          <w:szCs w:val="23"/>
          <w:lang w:val="en-US"/>
        </w:rPr>
        <w:t>2011.</w:t>
      </w:r>
      <w:r w:rsidRPr="00011A25">
        <w:rPr>
          <w:rFonts w:ascii="Times New Roman" w:hAnsi="Times New Roman" w:cs="Times New Roman"/>
          <w:sz w:val="23"/>
          <w:szCs w:val="23"/>
          <w:lang w:val="en-US"/>
        </w:rPr>
        <w:t xml:space="preserve"> Use of the environmental impact quotient to estimate health and environmental impacts of pesticide usage in Peruvian and Ecuadorian potato pr</w:t>
      </w:r>
      <w:bookmarkStart w:id="0" w:name="_GoBack"/>
      <w:bookmarkEnd w:id="0"/>
      <w:r w:rsidRPr="00011A25">
        <w:rPr>
          <w:rFonts w:ascii="Times New Roman" w:hAnsi="Times New Roman" w:cs="Times New Roman"/>
          <w:sz w:val="23"/>
          <w:szCs w:val="23"/>
          <w:lang w:val="en-US"/>
        </w:rPr>
        <w:t>oduction.</w:t>
      </w:r>
      <w:r w:rsidR="00584F59" w:rsidRPr="00011A25">
        <w:rPr>
          <w:rFonts w:ascii="Times New Roman" w:hAnsi="Times New Roman" w:cs="Times New Roman"/>
          <w:sz w:val="23"/>
          <w:szCs w:val="23"/>
          <w:lang w:val="en-US"/>
        </w:rPr>
        <w:t xml:space="preserve"> </w:t>
      </w:r>
      <w:proofErr w:type="spellStart"/>
      <w:r w:rsidRPr="00011A25">
        <w:rPr>
          <w:rFonts w:ascii="Times New Roman" w:hAnsi="Times New Roman" w:cs="Times New Roman"/>
          <w:sz w:val="23"/>
          <w:szCs w:val="23"/>
        </w:rPr>
        <w:t>Jour</w:t>
      </w:r>
      <w:r w:rsidR="00D5430E" w:rsidRPr="00011A25">
        <w:rPr>
          <w:rFonts w:ascii="Times New Roman" w:hAnsi="Times New Roman" w:cs="Times New Roman"/>
          <w:sz w:val="23"/>
          <w:szCs w:val="23"/>
        </w:rPr>
        <w:t>nal</w:t>
      </w:r>
      <w:proofErr w:type="spellEnd"/>
      <w:r w:rsidR="00D5430E" w:rsidRPr="00011A25">
        <w:rPr>
          <w:rFonts w:ascii="Times New Roman" w:hAnsi="Times New Roman" w:cs="Times New Roman"/>
          <w:sz w:val="23"/>
          <w:szCs w:val="23"/>
        </w:rPr>
        <w:t xml:space="preserve"> </w:t>
      </w:r>
      <w:proofErr w:type="spellStart"/>
      <w:r w:rsidR="00D5430E" w:rsidRPr="00011A25">
        <w:rPr>
          <w:rFonts w:ascii="Times New Roman" w:hAnsi="Times New Roman" w:cs="Times New Roman"/>
          <w:sz w:val="23"/>
          <w:szCs w:val="23"/>
        </w:rPr>
        <w:t>of</w:t>
      </w:r>
      <w:proofErr w:type="spellEnd"/>
      <w:r w:rsidR="00D5430E" w:rsidRPr="00011A25">
        <w:rPr>
          <w:rFonts w:ascii="Times New Roman" w:hAnsi="Times New Roman" w:cs="Times New Roman"/>
          <w:sz w:val="23"/>
          <w:szCs w:val="23"/>
        </w:rPr>
        <w:t xml:space="preserve"> </w:t>
      </w:r>
      <w:proofErr w:type="spellStart"/>
      <w:r w:rsidR="00D5430E" w:rsidRPr="00011A25">
        <w:rPr>
          <w:rFonts w:ascii="Times New Roman" w:hAnsi="Times New Roman" w:cs="Times New Roman"/>
          <w:sz w:val="23"/>
          <w:szCs w:val="23"/>
        </w:rPr>
        <w:t>Environmental</w:t>
      </w:r>
      <w:proofErr w:type="spellEnd"/>
      <w:r w:rsidR="00D5430E" w:rsidRPr="00011A25">
        <w:rPr>
          <w:rFonts w:ascii="Times New Roman" w:hAnsi="Times New Roman" w:cs="Times New Roman"/>
          <w:sz w:val="23"/>
          <w:szCs w:val="23"/>
        </w:rPr>
        <w:t xml:space="preserve"> </w:t>
      </w:r>
      <w:proofErr w:type="spellStart"/>
      <w:r w:rsidR="00D5430E" w:rsidRPr="00011A25">
        <w:rPr>
          <w:rFonts w:ascii="Times New Roman" w:hAnsi="Times New Roman" w:cs="Times New Roman"/>
          <w:sz w:val="23"/>
          <w:szCs w:val="23"/>
        </w:rPr>
        <w:t>Protection</w:t>
      </w:r>
      <w:proofErr w:type="spellEnd"/>
      <w:r w:rsidR="00D5430E" w:rsidRPr="00011A25">
        <w:rPr>
          <w:rFonts w:ascii="Times New Roman" w:hAnsi="Times New Roman" w:cs="Times New Roman"/>
          <w:sz w:val="23"/>
          <w:szCs w:val="23"/>
        </w:rPr>
        <w:t>.</w:t>
      </w:r>
      <w:r w:rsidRPr="00011A25">
        <w:rPr>
          <w:rFonts w:ascii="Times New Roman" w:hAnsi="Times New Roman" w:cs="Times New Roman"/>
          <w:sz w:val="23"/>
          <w:szCs w:val="23"/>
        </w:rPr>
        <w:t xml:space="preserve"> 2:581</w:t>
      </w:r>
      <w:r w:rsidR="00D5430E" w:rsidRPr="00011A25">
        <w:rPr>
          <w:rFonts w:ascii="Times New Roman" w:hAnsi="Times New Roman" w:cs="Times New Roman"/>
          <w:sz w:val="23"/>
          <w:szCs w:val="23"/>
        </w:rPr>
        <w:t>–</w:t>
      </w:r>
      <w:r w:rsidRPr="00011A25">
        <w:rPr>
          <w:rFonts w:ascii="Times New Roman" w:hAnsi="Times New Roman" w:cs="Times New Roman"/>
          <w:sz w:val="23"/>
          <w:szCs w:val="23"/>
        </w:rPr>
        <w:t>591.</w:t>
      </w:r>
    </w:p>
    <w:p w14:paraId="4FA27822" w14:textId="77777777" w:rsidR="003E5411" w:rsidRPr="00011A25" w:rsidRDefault="00D5430E" w:rsidP="00011A25">
      <w:pPr>
        <w:spacing w:after="0" w:line="240" w:lineRule="auto"/>
        <w:ind w:left="360" w:hanging="360"/>
        <w:jc w:val="both"/>
        <w:rPr>
          <w:rFonts w:ascii="Times New Roman" w:hAnsi="Times New Roman" w:cs="Times New Roman"/>
          <w:sz w:val="23"/>
          <w:szCs w:val="23"/>
          <w:lang w:val="es-MX"/>
        </w:rPr>
      </w:pPr>
      <w:r w:rsidRPr="00011A25">
        <w:rPr>
          <w:rFonts w:ascii="Times New Roman" w:hAnsi="Times New Roman" w:cs="Times New Roman"/>
          <w:sz w:val="23"/>
          <w:szCs w:val="23"/>
          <w:lang w:val="es-MX"/>
        </w:rPr>
        <w:t>Ponce, D., C.</w:t>
      </w:r>
      <w:r w:rsidR="00F26FF6" w:rsidRPr="00011A25">
        <w:rPr>
          <w:rFonts w:ascii="Times New Roman" w:hAnsi="Times New Roman" w:cs="Times New Roman"/>
          <w:sz w:val="23"/>
          <w:szCs w:val="23"/>
          <w:lang w:val="es-MX"/>
        </w:rPr>
        <w:t xml:space="preserve"> Cueva, </w:t>
      </w:r>
      <w:r w:rsidRPr="00011A25">
        <w:rPr>
          <w:rFonts w:ascii="Times New Roman" w:hAnsi="Times New Roman" w:cs="Times New Roman"/>
          <w:sz w:val="23"/>
          <w:szCs w:val="23"/>
          <w:lang w:val="es-MX"/>
        </w:rPr>
        <w:t>y E. Salas</w:t>
      </w:r>
      <w:r w:rsidR="00A44D34" w:rsidRPr="00011A25">
        <w:rPr>
          <w:rFonts w:ascii="Times New Roman" w:hAnsi="Times New Roman" w:cs="Times New Roman"/>
          <w:sz w:val="23"/>
          <w:szCs w:val="23"/>
          <w:lang w:val="es-MX"/>
        </w:rPr>
        <w:t>. 2014</w:t>
      </w:r>
      <w:r w:rsidRPr="00011A25">
        <w:rPr>
          <w:rFonts w:ascii="Times New Roman" w:hAnsi="Times New Roman" w:cs="Times New Roman"/>
          <w:sz w:val="23"/>
          <w:szCs w:val="23"/>
          <w:lang w:val="es-MX"/>
        </w:rPr>
        <w:t xml:space="preserve">. Informe Técnico: </w:t>
      </w:r>
      <w:proofErr w:type="gramStart"/>
      <w:r w:rsidRPr="00011A25">
        <w:rPr>
          <w:rFonts w:ascii="Times New Roman" w:hAnsi="Times New Roman" w:cs="Times New Roman"/>
          <w:sz w:val="23"/>
          <w:szCs w:val="23"/>
          <w:lang w:val="es-MX"/>
        </w:rPr>
        <w:t>S</w:t>
      </w:r>
      <w:r w:rsidR="003E5411" w:rsidRPr="00011A25">
        <w:rPr>
          <w:rFonts w:ascii="Times New Roman" w:hAnsi="Times New Roman" w:cs="Times New Roman"/>
          <w:sz w:val="23"/>
          <w:szCs w:val="23"/>
          <w:lang w:val="es-MX"/>
        </w:rPr>
        <w:t>tat</w:t>
      </w:r>
      <w:r w:rsidRPr="00011A25">
        <w:rPr>
          <w:rFonts w:ascii="Times New Roman" w:hAnsi="Times New Roman" w:cs="Times New Roman"/>
          <w:sz w:val="23"/>
          <w:szCs w:val="23"/>
          <w:lang w:val="es-MX"/>
        </w:rPr>
        <w:t>us</w:t>
      </w:r>
      <w:proofErr w:type="gramEnd"/>
      <w:r w:rsidRPr="00011A25">
        <w:rPr>
          <w:rFonts w:ascii="Times New Roman" w:hAnsi="Times New Roman" w:cs="Times New Roman"/>
          <w:sz w:val="23"/>
          <w:szCs w:val="23"/>
          <w:lang w:val="es-MX"/>
        </w:rPr>
        <w:t xml:space="preserve"> proyecto proceso de papa KFC.</w:t>
      </w:r>
      <w:r w:rsidR="003E5411" w:rsidRPr="00011A25">
        <w:rPr>
          <w:rFonts w:ascii="Times New Roman" w:hAnsi="Times New Roman" w:cs="Times New Roman"/>
          <w:sz w:val="23"/>
          <w:szCs w:val="23"/>
          <w:lang w:val="es-MX"/>
        </w:rPr>
        <w:t xml:space="preserve"> 9</w:t>
      </w:r>
      <w:r w:rsidRPr="00011A25">
        <w:rPr>
          <w:rFonts w:ascii="Times New Roman" w:hAnsi="Times New Roman" w:cs="Times New Roman"/>
          <w:sz w:val="23"/>
          <w:szCs w:val="23"/>
          <w:lang w:val="es-MX"/>
        </w:rPr>
        <w:t xml:space="preserve"> </w:t>
      </w:r>
      <w:r w:rsidR="003E5411" w:rsidRPr="00011A25">
        <w:rPr>
          <w:rFonts w:ascii="Times New Roman" w:hAnsi="Times New Roman" w:cs="Times New Roman"/>
          <w:sz w:val="23"/>
          <w:szCs w:val="23"/>
          <w:lang w:val="es-MX"/>
        </w:rPr>
        <w:t>p.</w:t>
      </w:r>
    </w:p>
    <w:p w14:paraId="26E78120" w14:textId="77777777" w:rsidR="003E5411" w:rsidRPr="00011A25" w:rsidRDefault="00F26FF6" w:rsidP="00011A25">
      <w:pPr>
        <w:spacing w:after="0" w:line="240" w:lineRule="auto"/>
        <w:ind w:left="360" w:hanging="360"/>
        <w:jc w:val="both"/>
        <w:rPr>
          <w:rFonts w:ascii="Times New Roman" w:hAnsi="Times New Roman" w:cs="Times New Roman"/>
          <w:b/>
          <w:sz w:val="23"/>
          <w:szCs w:val="23"/>
          <w:lang w:val="en-US"/>
        </w:rPr>
      </w:pPr>
      <w:proofErr w:type="spellStart"/>
      <w:r w:rsidRPr="00011A25">
        <w:rPr>
          <w:rFonts w:ascii="Times New Roman" w:hAnsi="Times New Roman" w:cs="Times New Roman"/>
          <w:sz w:val="23"/>
          <w:szCs w:val="23"/>
          <w:lang w:val="es-ES"/>
        </w:rPr>
        <w:t>Yuen</w:t>
      </w:r>
      <w:proofErr w:type="spellEnd"/>
      <w:r w:rsidRPr="00011A25">
        <w:rPr>
          <w:rFonts w:ascii="Times New Roman" w:hAnsi="Times New Roman" w:cs="Times New Roman"/>
          <w:sz w:val="23"/>
          <w:szCs w:val="23"/>
          <w:lang w:val="es-ES"/>
        </w:rPr>
        <w:t>, J.</w:t>
      </w:r>
      <w:r w:rsidR="00D5430E" w:rsidRPr="00011A25">
        <w:rPr>
          <w:rFonts w:ascii="Times New Roman" w:hAnsi="Times New Roman" w:cs="Times New Roman"/>
          <w:sz w:val="23"/>
          <w:szCs w:val="23"/>
          <w:lang w:val="es-ES"/>
        </w:rPr>
        <w:t>,</w:t>
      </w:r>
      <w:r w:rsidRPr="00011A25">
        <w:rPr>
          <w:rFonts w:ascii="Times New Roman" w:hAnsi="Times New Roman" w:cs="Times New Roman"/>
          <w:sz w:val="23"/>
          <w:szCs w:val="23"/>
          <w:lang w:val="es-ES"/>
        </w:rPr>
        <w:t xml:space="preserve"> y</w:t>
      </w:r>
      <w:r w:rsidR="00A44D34" w:rsidRPr="00011A25">
        <w:rPr>
          <w:rFonts w:ascii="Times New Roman" w:hAnsi="Times New Roman" w:cs="Times New Roman"/>
          <w:sz w:val="23"/>
          <w:szCs w:val="23"/>
          <w:lang w:val="es-ES"/>
        </w:rPr>
        <w:t xml:space="preserve"> </w:t>
      </w:r>
      <w:r w:rsidR="00D5430E" w:rsidRPr="00011A25">
        <w:rPr>
          <w:rFonts w:ascii="Times New Roman" w:hAnsi="Times New Roman" w:cs="Times New Roman"/>
          <w:sz w:val="23"/>
          <w:szCs w:val="23"/>
          <w:lang w:val="es-ES"/>
        </w:rPr>
        <w:t>G.A. Forbes</w:t>
      </w:r>
      <w:r w:rsidR="00A44D34" w:rsidRPr="00011A25">
        <w:rPr>
          <w:rFonts w:ascii="Times New Roman" w:hAnsi="Times New Roman" w:cs="Times New Roman"/>
          <w:sz w:val="23"/>
          <w:szCs w:val="23"/>
          <w:lang w:val="es-ES"/>
        </w:rPr>
        <w:t xml:space="preserve">. </w:t>
      </w:r>
      <w:r w:rsidR="00A44D34" w:rsidRPr="00011A25">
        <w:rPr>
          <w:rFonts w:ascii="Times New Roman" w:hAnsi="Times New Roman" w:cs="Times New Roman"/>
          <w:sz w:val="23"/>
          <w:szCs w:val="23"/>
          <w:lang w:val="en-US"/>
        </w:rPr>
        <w:t>2009</w:t>
      </w:r>
      <w:r w:rsidR="003E5411" w:rsidRPr="00011A25">
        <w:rPr>
          <w:rFonts w:ascii="Times New Roman" w:hAnsi="Times New Roman" w:cs="Times New Roman"/>
          <w:sz w:val="23"/>
          <w:szCs w:val="23"/>
          <w:lang w:val="en-US"/>
        </w:rPr>
        <w:t xml:space="preserve">. Estimating the level of susceptibility to </w:t>
      </w:r>
      <w:r w:rsidR="003E5411" w:rsidRPr="00011A25">
        <w:rPr>
          <w:rFonts w:ascii="Times New Roman" w:hAnsi="Times New Roman" w:cs="Times New Roman"/>
          <w:i/>
          <w:sz w:val="23"/>
          <w:szCs w:val="23"/>
          <w:lang w:val="en-US"/>
        </w:rPr>
        <w:t xml:space="preserve">Phytophthora </w:t>
      </w:r>
      <w:proofErr w:type="spellStart"/>
      <w:r w:rsidR="003E5411" w:rsidRPr="00011A25">
        <w:rPr>
          <w:rFonts w:ascii="Times New Roman" w:hAnsi="Times New Roman" w:cs="Times New Roman"/>
          <w:i/>
          <w:sz w:val="23"/>
          <w:szCs w:val="23"/>
          <w:lang w:val="en-US"/>
        </w:rPr>
        <w:t>infestans</w:t>
      </w:r>
      <w:proofErr w:type="spellEnd"/>
      <w:r w:rsidR="003E5411" w:rsidRPr="00011A25">
        <w:rPr>
          <w:rFonts w:ascii="Times New Roman" w:hAnsi="Times New Roman" w:cs="Times New Roman"/>
          <w:sz w:val="23"/>
          <w:szCs w:val="23"/>
          <w:lang w:val="en-US"/>
        </w:rPr>
        <w:t xml:space="preserve"> in p</w:t>
      </w:r>
      <w:r w:rsidR="00D5430E" w:rsidRPr="00011A25">
        <w:rPr>
          <w:rFonts w:ascii="Times New Roman" w:hAnsi="Times New Roman" w:cs="Times New Roman"/>
          <w:sz w:val="23"/>
          <w:szCs w:val="23"/>
          <w:lang w:val="en-US"/>
        </w:rPr>
        <w:t xml:space="preserve">otato genotypes. Phytopathology. </w:t>
      </w:r>
      <w:r w:rsidR="003E5411" w:rsidRPr="00011A25">
        <w:rPr>
          <w:rFonts w:ascii="Times New Roman" w:hAnsi="Times New Roman" w:cs="Times New Roman"/>
          <w:sz w:val="23"/>
          <w:szCs w:val="23"/>
          <w:lang w:val="en-US"/>
        </w:rPr>
        <w:t>99</w:t>
      </w:r>
      <w:r w:rsidR="00A44D34" w:rsidRPr="00011A25">
        <w:rPr>
          <w:rFonts w:ascii="Times New Roman" w:hAnsi="Times New Roman" w:cs="Times New Roman"/>
          <w:sz w:val="23"/>
          <w:szCs w:val="23"/>
          <w:lang w:val="en-US"/>
        </w:rPr>
        <w:t>(6)</w:t>
      </w:r>
      <w:r w:rsidR="00D5430E" w:rsidRPr="00011A25">
        <w:rPr>
          <w:rFonts w:ascii="Times New Roman" w:hAnsi="Times New Roman" w:cs="Times New Roman"/>
          <w:sz w:val="23"/>
          <w:szCs w:val="23"/>
          <w:lang w:val="en-US"/>
        </w:rPr>
        <w:t>:</w:t>
      </w:r>
      <w:r w:rsidR="003E5411" w:rsidRPr="00011A25">
        <w:rPr>
          <w:rFonts w:ascii="Times New Roman" w:hAnsi="Times New Roman" w:cs="Times New Roman"/>
          <w:sz w:val="23"/>
          <w:szCs w:val="23"/>
          <w:lang w:val="en-US"/>
        </w:rPr>
        <w:t>783</w:t>
      </w:r>
      <w:r w:rsidR="00D5430E" w:rsidRPr="00011A25">
        <w:rPr>
          <w:rFonts w:ascii="Times New Roman" w:hAnsi="Times New Roman" w:cs="Times New Roman"/>
          <w:sz w:val="23"/>
          <w:szCs w:val="23"/>
          <w:lang w:val="en-US"/>
        </w:rPr>
        <w:t>–</w:t>
      </w:r>
      <w:r w:rsidR="003E5411" w:rsidRPr="00011A25">
        <w:rPr>
          <w:rFonts w:ascii="Times New Roman" w:hAnsi="Times New Roman" w:cs="Times New Roman"/>
          <w:sz w:val="23"/>
          <w:szCs w:val="23"/>
          <w:lang w:val="en-US"/>
        </w:rPr>
        <w:t>786.</w:t>
      </w:r>
    </w:p>
    <w:sectPr w:rsidR="003E5411" w:rsidRPr="00011A25" w:rsidSect="00011A25">
      <w:pgSz w:w="11907" w:h="16840" w:code="9"/>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BD77" w14:textId="77777777" w:rsidR="009647E2" w:rsidRDefault="009647E2" w:rsidP="00AD7CE6">
      <w:pPr>
        <w:spacing w:after="0" w:line="240" w:lineRule="auto"/>
      </w:pPr>
      <w:r>
        <w:separator/>
      </w:r>
    </w:p>
  </w:endnote>
  <w:endnote w:type="continuationSeparator" w:id="0">
    <w:p w14:paraId="0170995C" w14:textId="77777777" w:rsidR="009647E2" w:rsidRDefault="009647E2" w:rsidP="00AD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9023" w14:textId="77777777" w:rsidR="009647E2" w:rsidRDefault="009647E2" w:rsidP="00AD7CE6">
      <w:pPr>
        <w:spacing w:after="0" w:line="240" w:lineRule="auto"/>
      </w:pPr>
      <w:r>
        <w:separator/>
      </w:r>
    </w:p>
  </w:footnote>
  <w:footnote w:type="continuationSeparator" w:id="0">
    <w:p w14:paraId="41C6CEB6" w14:textId="77777777" w:rsidR="009647E2" w:rsidRDefault="009647E2" w:rsidP="00AD7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E6DD0"/>
    <w:multiLevelType w:val="hybridMultilevel"/>
    <w:tmpl w:val="212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E6"/>
    <w:rsid w:val="00011A25"/>
    <w:rsid w:val="00014007"/>
    <w:rsid w:val="00053623"/>
    <w:rsid w:val="00151C61"/>
    <w:rsid w:val="00161BFB"/>
    <w:rsid w:val="001C2D85"/>
    <w:rsid w:val="00207D46"/>
    <w:rsid w:val="00292E76"/>
    <w:rsid w:val="002F771A"/>
    <w:rsid w:val="00313E34"/>
    <w:rsid w:val="003203F4"/>
    <w:rsid w:val="003A78AE"/>
    <w:rsid w:val="003E5411"/>
    <w:rsid w:val="00411363"/>
    <w:rsid w:val="00452143"/>
    <w:rsid w:val="00473FD1"/>
    <w:rsid w:val="004C1946"/>
    <w:rsid w:val="004C4BF6"/>
    <w:rsid w:val="005209A0"/>
    <w:rsid w:val="00584F59"/>
    <w:rsid w:val="005A1BD4"/>
    <w:rsid w:val="005E0DDC"/>
    <w:rsid w:val="005E6EF1"/>
    <w:rsid w:val="006A17BB"/>
    <w:rsid w:val="006B177B"/>
    <w:rsid w:val="006B1C6B"/>
    <w:rsid w:val="00714DB5"/>
    <w:rsid w:val="007510E2"/>
    <w:rsid w:val="00770CFA"/>
    <w:rsid w:val="00772FB0"/>
    <w:rsid w:val="007C2697"/>
    <w:rsid w:val="00810CCC"/>
    <w:rsid w:val="00860427"/>
    <w:rsid w:val="00860E44"/>
    <w:rsid w:val="00874973"/>
    <w:rsid w:val="00877E88"/>
    <w:rsid w:val="008E351E"/>
    <w:rsid w:val="00903D6C"/>
    <w:rsid w:val="009423B5"/>
    <w:rsid w:val="00956DA1"/>
    <w:rsid w:val="009647E2"/>
    <w:rsid w:val="009820EA"/>
    <w:rsid w:val="009B01B5"/>
    <w:rsid w:val="00A44D34"/>
    <w:rsid w:val="00A55EEE"/>
    <w:rsid w:val="00AD7CE6"/>
    <w:rsid w:val="00AE66A5"/>
    <w:rsid w:val="00B01205"/>
    <w:rsid w:val="00B426D8"/>
    <w:rsid w:val="00BB148E"/>
    <w:rsid w:val="00BC378B"/>
    <w:rsid w:val="00CD39BF"/>
    <w:rsid w:val="00D219C8"/>
    <w:rsid w:val="00D23422"/>
    <w:rsid w:val="00D5430E"/>
    <w:rsid w:val="00DF209D"/>
    <w:rsid w:val="00DF2731"/>
    <w:rsid w:val="00E0542A"/>
    <w:rsid w:val="00E34D32"/>
    <w:rsid w:val="00E74097"/>
    <w:rsid w:val="00E87A9E"/>
    <w:rsid w:val="00EA21FE"/>
    <w:rsid w:val="00F26FF6"/>
    <w:rsid w:val="00F52E18"/>
    <w:rsid w:val="00F54B88"/>
    <w:rsid w:val="00F55966"/>
    <w:rsid w:val="00F920CA"/>
    <w:rsid w:val="00FD0A0A"/>
    <w:rsid w:val="00FD493B"/>
    <w:rsid w:val="00FF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3D3"/>
  <w15:docId w15:val="{5B35C750-D225-466F-A2AE-EA71222B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D7CE6"/>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lang w:val="es-ES_tradnl" w:eastAsia="es-ES"/>
    </w:rPr>
  </w:style>
  <w:style w:type="character" w:customStyle="1" w:styleId="FootnoteTextChar">
    <w:name w:val="Footnote Text Char"/>
    <w:basedOn w:val="DefaultParagraphFont"/>
    <w:link w:val="FootnoteText"/>
    <w:semiHidden/>
    <w:rsid w:val="00AD7CE6"/>
    <w:rPr>
      <w:rFonts w:ascii="Times New Roman" w:eastAsia="Times New Roman" w:hAnsi="Times New Roman" w:cs="Times New Roman"/>
      <w:sz w:val="20"/>
      <w:szCs w:val="20"/>
      <w:lang w:val="es-ES_tradnl" w:eastAsia="es-ES"/>
    </w:rPr>
  </w:style>
  <w:style w:type="character" w:styleId="FootnoteReference">
    <w:name w:val="footnote reference"/>
    <w:semiHidden/>
    <w:rsid w:val="00AD7CE6"/>
    <w:rPr>
      <w:vertAlign w:val="superscript"/>
    </w:rPr>
  </w:style>
  <w:style w:type="paragraph" w:styleId="ListParagraph">
    <w:name w:val="List Paragraph"/>
    <w:basedOn w:val="Normal"/>
    <w:uiPriority w:val="34"/>
    <w:qFormat/>
    <w:rsid w:val="005209A0"/>
    <w:pPr>
      <w:ind w:left="720"/>
      <w:contextualSpacing/>
    </w:pPr>
  </w:style>
  <w:style w:type="character" w:styleId="Hyperlink">
    <w:name w:val="Hyperlink"/>
    <w:basedOn w:val="DefaultParagraphFont"/>
    <w:uiPriority w:val="99"/>
    <w:unhideWhenUsed/>
    <w:rsid w:val="00D54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avier.cuesta@iniap.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959</Words>
  <Characters>5472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José L. Pantoja</cp:lastModifiedBy>
  <cp:revision>3</cp:revision>
  <cp:lastPrinted>2015-05-28T17:36:00Z</cp:lastPrinted>
  <dcterms:created xsi:type="dcterms:W3CDTF">2017-02-03T19:23:00Z</dcterms:created>
  <dcterms:modified xsi:type="dcterms:W3CDTF">2019-04-06T16:24:00Z</dcterms:modified>
</cp:coreProperties>
</file>